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9E32" w14:textId="58FD530A" w:rsidR="00940D58" w:rsidRDefault="000E71B7" w:rsidP="00265670">
      <w:pPr>
        <w:pStyle w:val="Title"/>
      </w:pPr>
      <w:r>
        <w:t xml:space="preserve"> </w:t>
      </w:r>
      <w:r w:rsidR="004542EE">
        <w:t xml:space="preserve"> </w:t>
      </w:r>
      <w:r w:rsidR="00A540D9">
        <w:t xml:space="preserve"> </w:t>
      </w:r>
      <w:r w:rsidR="006738AC">
        <w:t xml:space="preserve"> </w:t>
      </w:r>
      <w:r w:rsidR="00940D58" w:rsidRPr="000B56FE">
        <w:rPr>
          <w:noProof/>
        </w:rPr>
        <w:drawing>
          <wp:inline distT="0" distB="0" distL="0" distR="0" wp14:anchorId="0CCEA718" wp14:editId="44699582">
            <wp:extent cx="2664229" cy="457200"/>
            <wp:effectExtent l="0" t="0" r="3175" b="0"/>
            <wp:docPr id="929171845" name="Picture 1" descr="University of Illinois Urbana-Champaign wordm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1845" name="Picture 1" descr="University of Illinois Urbana-Champaign wordmark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898" cy="460232"/>
                    </a:xfrm>
                    <a:prstGeom prst="rect">
                      <a:avLst/>
                    </a:prstGeom>
                    <a:noFill/>
                    <a:ln>
                      <a:noFill/>
                    </a:ln>
                  </pic:spPr>
                </pic:pic>
              </a:graphicData>
            </a:graphic>
          </wp:inline>
        </w:drawing>
      </w:r>
    </w:p>
    <w:p w14:paraId="50E3210F" w14:textId="77777777" w:rsidR="00940D58" w:rsidRDefault="00940D58" w:rsidP="00265670">
      <w:pPr>
        <w:pStyle w:val="Title"/>
      </w:pPr>
    </w:p>
    <w:p w14:paraId="65961FA7" w14:textId="7AEB6728" w:rsidR="00FE4C4B" w:rsidRDefault="00900A4F" w:rsidP="00265670">
      <w:pPr>
        <w:pStyle w:val="Title"/>
      </w:pPr>
      <w:r>
        <w:t>ANSC 499</w:t>
      </w:r>
      <w:r w:rsidR="0077190E">
        <w:t>:</w:t>
      </w:r>
      <w:r>
        <w:br/>
        <w:t>Antibiotics and Antibiotic Resistance</w:t>
      </w:r>
      <w:r>
        <w:br/>
        <w:t xml:space="preserve">Spring </w:t>
      </w:r>
      <w:r w:rsidR="00893A10">
        <w:t>20</w:t>
      </w:r>
      <w:r>
        <w:t>26</w:t>
      </w:r>
    </w:p>
    <w:p w14:paraId="157EABB8" w14:textId="4A9167A7" w:rsidR="00893A10" w:rsidRDefault="00893A10" w:rsidP="00AE14DF">
      <w:pPr>
        <w:pStyle w:val="Heading1"/>
      </w:pPr>
      <w:r>
        <w:t>Course Information</w:t>
      </w:r>
    </w:p>
    <w:p w14:paraId="1B89E4BA" w14:textId="688B4FA9" w:rsidR="00F55895" w:rsidRDefault="00893A10" w:rsidP="00F55895">
      <w:pPr>
        <w:pStyle w:val="ListParagraph"/>
        <w:numPr>
          <w:ilvl w:val="0"/>
          <w:numId w:val="8"/>
        </w:numPr>
      </w:pPr>
      <w:r>
        <w:t>Full Semester</w:t>
      </w:r>
    </w:p>
    <w:p w14:paraId="148D20DD" w14:textId="7547A05C" w:rsidR="00F55895" w:rsidRPr="00F55895" w:rsidRDefault="00F55895" w:rsidP="00F55895">
      <w:pPr>
        <w:pStyle w:val="ListParagraph"/>
        <w:numPr>
          <w:ilvl w:val="0"/>
          <w:numId w:val="8"/>
        </w:numPr>
      </w:pPr>
      <w:r w:rsidRPr="00893A10">
        <w:t>Contact</w:t>
      </w:r>
      <w:r w:rsidRPr="00F55895">
        <w:rPr>
          <w:spacing w:val="-2"/>
        </w:rPr>
        <w:t xml:space="preserve"> </w:t>
      </w:r>
      <w:r w:rsidRPr="00893A10">
        <w:t>Hours</w:t>
      </w:r>
      <w:r>
        <w:t>:</w:t>
      </w:r>
      <w:r w:rsidRPr="00F55895">
        <w:rPr>
          <w:spacing w:val="-3"/>
        </w:rPr>
        <w:t xml:space="preserve"> </w:t>
      </w:r>
      <w:r w:rsidR="00964313">
        <w:t>T/R 1</w:t>
      </w:r>
      <w:r w:rsidR="00345DD3">
        <w:t>1</w:t>
      </w:r>
      <w:r w:rsidR="00964313">
        <w:t>:00 am to 1</w:t>
      </w:r>
      <w:r w:rsidR="00E6295C">
        <w:t>:0</w:t>
      </w:r>
      <w:r w:rsidR="00964313">
        <w:t xml:space="preserve">0 </w:t>
      </w:r>
      <w:r w:rsidR="00E6295C">
        <w:t>p</w:t>
      </w:r>
      <w:r w:rsidR="00964313">
        <w:t>m</w:t>
      </w:r>
    </w:p>
    <w:p w14:paraId="36EA9460" w14:textId="6599FF3D" w:rsidR="00F55895" w:rsidRDefault="00F561E6" w:rsidP="00F55895">
      <w:pPr>
        <w:pStyle w:val="ListParagraph"/>
        <w:numPr>
          <w:ilvl w:val="0"/>
          <w:numId w:val="8"/>
        </w:numPr>
        <w:rPr>
          <w:lang w:val="fr-FR"/>
        </w:rPr>
      </w:pPr>
      <w:r>
        <w:rPr>
          <w:lang w:val="fr-FR"/>
        </w:rPr>
        <w:t>I</w:t>
      </w:r>
      <w:r w:rsidR="00F55895" w:rsidRPr="00F55895">
        <w:rPr>
          <w:lang w:val="fr-FR"/>
        </w:rPr>
        <w:t>n-</w:t>
      </w:r>
      <w:r w:rsidR="00BB7B32" w:rsidRPr="00F55895">
        <w:rPr>
          <w:lang w:val="fr-FR"/>
        </w:rPr>
        <w:t>Person</w:t>
      </w:r>
    </w:p>
    <w:p w14:paraId="332B046C" w14:textId="769ADC7A" w:rsidR="00F55895" w:rsidRDefault="00F55895" w:rsidP="00F55895">
      <w:pPr>
        <w:pStyle w:val="ListParagraph"/>
        <w:numPr>
          <w:ilvl w:val="0"/>
          <w:numId w:val="8"/>
        </w:numPr>
      </w:pPr>
      <w:r w:rsidRPr="00893A10">
        <w:t xml:space="preserve">Course Location: </w:t>
      </w:r>
      <w:r w:rsidR="00BB7B32">
        <w:t>Agricultural Bioprocess Laboratory, room 17</w:t>
      </w:r>
    </w:p>
    <w:p w14:paraId="7014370A" w14:textId="2F31586C" w:rsidR="00F55895" w:rsidRDefault="00F55895" w:rsidP="00F55895">
      <w:pPr>
        <w:pStyle w:val="ListParagraph"/>
        <w:numPr>
          <w:ilvl w:val="0"/>
          <w:numId w:val="8"/>
        </w:numPr>
      </w:pPr>
      <w:r w:rsidRPr="00893A10">
        <w:t>Weekly</w:t>
      </w:r>
      <w:r w:rsidRPr="00F55895">
        <w:rPr>
          <w:spacing w:val="-6"/>
        </w:rPr>
        <w:t xml:space="preserve"> </w:t>
      </w:r>
      <w:r w:rsidRPr="00893A10">
        <w:t>Hours</w:t>
      </w:r>
      <w:r w:rsidRPr="00F55895">
        <w:rPr>
          <w:spacing w:val="-4"/>
        </w:rPr>
        <w:t xml:space="preserve"> </w:t>
      </w:r>
      <w:r w:rsidRPr="00893A10">
        <w:t>of</w:t>
      </w:r>
      <w:r w:rsidRPr="00F55895">
        <w:rPr>
          <w:spacing w:val="-6"/>
        </w:rPr>
        <w:t xml:space="preserve"> </w:t>
      </w:r>
      <w:r w:rsidRPr="00893A10">
        <w:t>Expected</w:t>
      </w:r>
      <w:r w:rsidRPr="00F55895">
        <w:rPr>
          <w:spacing w:val="-3"/>
        </w:rPr>
        <w:t xml:space="preserve"> </w:t>
      </w:r>
      <w:r w:rsidRPr="00893A10">
        <w:t>Student</w:t>
      </w:r>
      <w:r w:rsidRPr="00F55895">
        <w:rPr>
          <w:spacing w:val="-3"/>
        </w:rPr>
        <w:t xml:space="preserve"> </w:t>
      </w:r>
      <w:r w:rsidRPr="00893A10">
        <w:t>Work,</w:t>
      </w:r>
      <w:r w:rsidRPr="00F55895">
        <w:rPr>
          <w:spacing w:val="-3"/>
        </w:rPr>
        <w:t xml:space="preserve"> </w:t>
      </w:r>
      <w:r w:rsidRPr="00893A10">
        <w:t>apart</w:t>
      </w:r>
      <w:r w:rsidRPr="00F55895">
        <w:rPr>
          <w:spacing w:val="-3"/>
        </w:rPr>
        <w:t xml:space="preserve"> </w:t>
      </w:r>
      <w:r w:rsidRPr="00893A10">
        <w:t>from</w:t>
      </w:r>
      <w:r w:rsidRPr="00F55895">
        <w:rPr>
          <w:spacing w:val="-3"/>
        </w:rPr>
        <w:t xml:space="preserve"> </w:t>
      </w:r>
      <w:r w:rsidRPr="00893A10">
        <w:t>instruction</w:t>
      </w:r>
      <w:r w:rsidRPr="00F55895">
        <w:rPr>
          <w:spacing w:val="-3"/>
        </w:rPr>
        <w:t xml:space="preserve"> </w:t>
      </w:r>
      <w:r w:rsidRPr="00893A10">
        <w:t xml:space="preserve">time: </w:t>
      </w:r>
      <w:r w:rsidR="00BB7B32">
        <w:t>4</w:t>
      </w:r>
    </w:p>
    <w:p w14:paraId="529067F4" w14:textId="2BED55DA" w:rsidR="00F55895" w:rsidRDefault="00C576C2" w:rsidP="00F55895">
      <w:pPr>
        <w:pStyle w:val="ListParagraph"/>
        <w:numPr>
          <w:ilvl w:val="0"/>
          <w:numId w:val="8"/>
        </w:numPr>
      </w:pPr>
      <w:r>
        <w:rPr>
          <w:spacing w:val="-2"/>
        </w:rPr>
        <w:t>3</w:t>
      </w:r>
      <w:r w:rsidR="00F55895" w:rsidRPr="00F55895">
        <w:rPr>
          <w:spacing w:val="-2"/>
        </w:rPr>
        <w:t xml:space="preserve"> </w:t>
      </w:r>
      <w:hyperlink r:id="rId9">
        <w:r w:rsidR="00F55895" w:rsidRPr="00893A10">
          <w:t>Credit</w:t>
        </w:r>
        <w:r w:rsidR="00F55895" w:rsidRPr="00F55895">
          <w:rPr>
            <w:spacing w:val="-2"/>
          </w:rPr>
          <w:t xml:space="preserve"> </w:t>
        </w:r>
        <w:r w:rsidR="00F55895" w:rsidRPr="00893A10">
          <w:t>Hours</w:t>
        </w:r>
      </w:hyperlink>
    </w:p>
    <w:p w14:paraId="4DB43974" w14:textId="77777777" w:rsidR="00D94282" w:rsidRDefault="00D94282" w:rsidP="000F79A6">
      <w:pPr>
        <w:pStyle w:val="Heading2"/>
      </w:pPr>
      <w:r>
        <w:t>Instructor Information</w:t>
      </w:r>
    </w:p>
    <w:p w14:paraId="32DBECAA" w14:textId="4FFCD91A" w:rsidR="00F55895" w:rsidRDefault="00F561E6" w:rsidP="00F55895">
      <w:pPr>
        <w:pStyle w:val="ListParagraph"/>
        <w:numPr>
          <w:ilvl w:val="0"/>
          <w:numId w:val="10"/>
        </w:numPr>
      </w:pPr>
      <w:r>
        <w:t>Terence Crofts</w:t>
      </w:r>
    </w:p>
    <w:p w14:paraId="3304DDEB" w14:textId="34F61F60" w:rsidR="00F55895" w:rsidRDefault="00F561E6" w:rsidP="00F55895">
      <w:pPr>
        <w:pStyle w:val="ListParagraph"/>
        <w:numPr>
          <w:ilvl w:val="0"/>
          <w:numId w:val="10"/>
        </w:numPr>
      </w:pPr>
      <w:r>
        <w:t>Assistant Professor</w:t>
      </w:r>
    </w:p>
    <w:p w14:paraId="31DE70BA" w14:textId="615D09C2" w:rsidR="00F55895" w:rsidRDefault="00F561E6" w:rsidP="00F55895">
      <w:pPr>
        <w:pStyle w:val="ListParagraph"/>
        <w:numPr>
          <w:ilvl w:val="0"/>
          <w:numId w:val="10"/>
        </w:numPr>
      </w:pPr>
      <w:r>
        <w:t>Animals Sciences, College of ACES</w:t>
      </w:r>
    </w:p>
    <w:p w14:paraId="0444A481" w14:textId="0ABE8DA6" w:rsidR="00F55895" w:rsidRDefault="00F561E6" w:rsidP="00F55895">
      <w:pPr>
        <w:pStyle w:val="ListParagraph"/>
        <w:numPr>
          <w:ilvl w:val="0"/>
          <w:numId w:val="10"/>
        </w:numPr>
      </w:pPr>
      <w:r>
        <w:t>tcrofts@illinois.edu</w:t>
      </w:r>
    </w:p>
    <w:p w14:paraId="54DDF1BD" w14:textId="61B41CDD" w:rsidR="00F55895" w:rsidRDefault="00F561E6" w:rsidP="00F55895">
      <w:pPr>
        <w:pStyle w:val="ListParagraph"/>
        <w:numPr>
          <w:ilvl w:val="0"/>
          <w:numId w:val="10"/>
        </w:numPr>
      </w:pPr>
      <w:r>
        <w:t>Animal Sciences Laboratory Rm 430</w:t>
      </w:r>
    </w:p>
    <w:p w14:paraId="69290B5A" w14:textId="2EBDCB11" w:rsidR="00F55895" w:rsidRDefault="00F55895" w:rsidP="00F55895">
      <w:pPr>
        <w:pStyle w:val="ListParagraph"/>
        <w:numPr>
          <w:ilvl w:val="0"/>
          <w:numId w:val="10"/>
        </w:numPr>
      </w:pPr>
      <w:r w:rsidRPr="000B56FE">
        <w:t xml:space="preserve">Instructor drop-in hours for students: </w:t>
      </w:r>
      <w:r w:rsidR="00BB7B32">
        <w:t>Friday, 1-2 pm, Animal Sciences Laboratory Rm 430</w:t>
      </w:r>
    </w:p>
    <w:p w14:paraId="72B286AB" w14:textId="534F80CB" w:rsidR="00D94282" w:rsidRDefault="00BB7B32" w:rsidP="00F55895">
      <w:pPr>
        <w:pStyle w:val="ListParagraph"/>
        <w:numPr>
          <w:ilvl w:val="0"/>
          <w:numId w:val="10"/>
        </w:numPr>
      </w:pPr>
      <w:hyperlink r:id="rId10" w:history="1">
        <w:r w:rsidRPr="00964313">
          <w:rPr>
            <w:rStyle w:val="Hyperlink"/>
          </w:rPr>
          <w:t>croftsmicrolab.org</w:t>
        </w:r>
      </w:hyperlink>
    </w:p>
    <w:p w14:paraId="45A034FF" w14:textId="77777777" w:rsidR="00762661" w:rsidRPr="000B56FE" w:rsidRDefault="00762661" w:rsidP="00762661">
      <w:pPr>
        <w:pStyle w:val="ListParagraph"/>
      </w:pPr>
    </w:p>
    <w:p w14:paraId="521E0AEC" w14:textId="77777777" w:rsidR="00C358B1" w:rsidRPr="000B56FE" w:rsidRDefault="00C358B1" w:rsidP="00C358B1">
      <w:pPr>
        <w:pStyle w:val="Heading2"/>
      </w:pPr>
      <w:r w:rsidRPr="000B56FE">
        <w:t>Course</w:t>
      </w:r>
      <w:r w:rsidRPr="000B56FE">
        <w:rPr>
          <w:spacing w:val="-3"/>
        </w:rPr>
        <w:t xml:space="preserve"> </w:t>
      </w:r>
      <w:r w:rsidRPr="000B56FE">
        <w:t>Description</w:t>
      </w:r>
    </w:p>
    <w:p w14:paraId="6595F12D" w14:textId="24EAD428" w:rsidR="00C358B1" w:rsidRPr="000B56FE" w:rsidRDefault="008D4519" w:rsidP="00C358B1">
      <w:r>
        <w:t xml:space="preserve">This </w:t>
      </w:r>
      <w:r w:rsidR="001C6E66">
        <w:t xml:space="preserve">research-based </w:t>
      </w:r>
      <w:r>
        <w:t xml:space="preserve">laboratory course will </w:t>
      </w:r>
      <w:r w:rsidR="00FE2136">
        <w:t xml:space="preserve">teach practical aspects of microbiology through the </w:t>
      </w:r>
      <w:r w:rsidR="001C6E66">
        <w:t>lens</w:t>
      </w:r>
      <w:r w:rsidR="00FE2136">
        <w:t xml:space="preserve"> of </w:t>
      </w:r>
      <w:r>
        <w:t>antibiotic</w:t>
      </w:r>
      <w:r w:rsidR="00FE2136">
        <w:t xml:space="preserve">s, specifically their origins in the </w:t>
      </w:r>
      <w:r>
        <w:t>soil microbiome</w:t>
      </w:r>
      <w:r w:rsidR="00FE2136">
        <w:t xml:space="preserve"> and the parallel origin of antibiotic resistance there as well</w:t>
      </w:r>
      <w:r w:rsidR="00C358B1" w:rsidRPr="000B56FE">
        <w:rPr>
          <w:spacing w:val="-2"/>
        </w:rPr>
        <w:t>.</w:t>
      </w:r>
      <w:r>
        <w:rPr>
          <w:spacing w:val="-2"/>
        </w:rPr>
        <w:t xml:space="preserve"> Students will learn</w:t>
      </w:r>
      <w:r w:rsidR="00FE2136">
        <w:rPr>
          <w:spacing w:val="-2"/>
        </w:rPr>
        <w:t xml:space="preserve"> the basics of laboratory microbiology, as well as</w:t>
      </w:r>
      <w:r>
        <w:rPr>
          <w:spacing w:val="-2"/>
        </w:rPr>
        <w:t xml:space="preserve"> </w:t>
      </w:r>
      <w:r w:rsidR="00D06E73">
        <w:rPr>
          <w:spacing w:val="-2"/>
        </w:rPr>
        <w:t xml:space="preserve">about the </w:t>
      </w:r>
      <w:r>
        <w:rPr>
          <w:spacing w:val="-2"/>
        </w:rPr>
        <w:t xml:space="preserve">practical aspects of antimicrobial discovery </w:t>
      </w:r>
      <w:r>
        <w:rPr>
          <w:spacing w:val="-2"/>
        </w:rPr>
        <w:lastRenderedPageBreak/>
        <w:t xml:space="preserve">and clinical antimicrobial susceptibility testing. </w:t>
      </w:r>
      <w:r w:rsidR="00B76E1A">
        <w:rPr>
          <w:spacing w:val="-2"/>
        </w:rPr>
        <w:t xml:space="preserve">This is a CURE (course-based undergraduate research experience) class with the goal of promoting student belonging and persistence in STEM fields and it encompasses all aspects of authentic scientific research. </w:t>
      </w:r>
      <w:r w:rsidR="008F149A">
        <w:rPr>
          <w:spacing w:val="-2"/>
        </w:rPr>
        <w:t>Th</w:t>
      </w:r>
      <w:r w:rsidR="00B76E1A">
        <w:rPr>
          <w:spacing w:val="-2"/>
        </w:rPr>
        <w:t>e</w:t>
      </w:r>
      <w:r w:rsidR="008F149A">
        <w:rPr>
          <w:spacing w:val="-2"/>
        </w:rPr>
        <w:t xml:space="preserve"> course is targeted at students interested</w:t>
      </w:r>
      <w:r w:rsidR="00D87AC0">
        <w:rPr>
          <w:spacing w:val="-2"/>
        </w:rPr>
        <w:t xml:space="preserve"> in </w:t>
      </w:r>
      <w:r w:rsidR="00B76E1A">
        <w:rPr>
          <w:spacing w:val="-2"/>
        </w:rPr>
        <w:t xml:space="preserve">scientific research and, specifically, those interested in </w:t>
      </w:r>
      <w:r w:rsidR="00D87AC0">
        <w:rPr>
          <w:spacing w:val="-2"/>
        </w:rPr>
        <w:t>microbiology techniques,</w:t>
      </w:r>
      <w:r w:rsidR="008F149A">
        <w:rPr>
          <w:spacing w:val="-2"/>
        </w:rPr>
        <w:t xml:space="preserve"> antibiotics</w:t>
      </w:r>
      <w:r w:rsidR="00D87AC0">
        <w:rPr>
          <w:spacing w:val="-2"/>
        </w:rPr>
        <w:t xml:space="preserve"> and antibiotic resistance</w:t>
      </w:r>
      <w:r w:rsidR="008F149A">
        <w:rPr>
          <w:spacing w:val="-2"/>
        </w:rPr>
        <w:t xml:space="preserve">, </w:t>
      </w:r>
      <w:r w:rsidR="00D87AC0">
        <w:rPr>
          <w:spacing w:val="-2"/>
        </w:rPr>
        <w:t xml:space="preserve">and those </w:t>
      </w:r>
      <w:r w:rsidR="00B76E1A">
        <w:rPr>
          <w:spacing w:val="-2"/>
        </w:rPr>
        <w:t xml:space="preserve">seeking </w:t>
      </w:r>
      <w:r w:rsidR="00D87AC0">
        <w:rPr>
          <w:spacing w:val="-2"/>
        </w:rPr>
        <w:t xml:space="preserve">careers where </w:t>
      </w:r>
      <w:r w:rsidR="00B76E1A">
        <w:rPr>
          <w:spacing w:val="-2"/>
        </w:rPr>
        <w:t xml:space="preserve">clinical </w:t>
      </w:r>
      <w:r w:rsidR="00D87AC0">
        <w:rPr>
          <w:spacing w:val="-2"/>
        </w:rPr>
        <w:t>antimicrobial susceptibility testing occurs.</w:t>
      </w:r>
    </w:p>
    <w:p w14:paraId="44522556" w14:textId="77777777" w:rsidR="00C358B1" w:rsidRPr="000B56FE" w:rsidRDefault="00C358B1" w:rsidP="00C358B1">
      <w:pPr>
        <w:pStyle w:val="BodyText"/>
      </w:pPr>
    </w:p>
    <w:p w14:paraId="1E6F33DA" w14:textId="7DE275E5" w:rsidR="00C358B1" w:rsidRPr="000B56FE" w:rsidRDefault="00C358B1" w:rsidP="00C358B1">
      <w:pPr>
        <w:pStyle w:val="Heading2"/>
      </w:pPr>
      <w:r w:rsidRPr="000B56FE">
        <w:t>Learning</w:t>
      </w:r>
      <w:r w:rsidRPr="000B56FE">
        <w:rPr>
          <w:spacing w:val="-2"/>
        </w:rPr>
        <w:t xml:space="preserve"> Outcomes</w:t>
      </w:r>
    </w:p>
    <w:p w14:paraId="64FBC75C" w14:textId="73D12564" w:rsidR="00C358B1" w:rsidRDefault="005B1649" w:rsidP="00C358B1">
      <w:r>
        <w:t>As a result of</w:t>
      </w:r>
      <w:r w:rsidR="00C358B1">
        <w:t xml:space="preserve"> this course, students will:</w:t>
      </w:r>
    </w:p>
    <w:p w14:paraId="183A2BD2" w14:textId="7DB1784D" w:rsidR="00191184" w:rsidRDefault="00191184" w:rsidP="00191184">
      <w:pPr>
        <w:pStyle w:val="ListParagraph"/>
        <w:numPr>
          <w:ilvl w:val="0"/>
          <w:numId w:val="4"/>
        </w:numPr>
      </w:pPr>
      <w:r>
        <w:t>Describe the ecological pressures that lead to the evolution of antibiotics and antibiotic resistance in soil</w:t>
      </w:r>
    </w:p>
    <w:p w14:paraId="6E711536" w14:textId="439FE2D4" w:rsidR="005B1649" w:rsidRDefault="00191184" w:rsidP="00C358B1">
      <w:pPr>
        <w:pStyle w:val="ListParagraph"/>
        <w:numPr>
          <w:ilvl w:val="0"/>
          <w:numId w:val="4"/>
        </w:numPr>
      </w:pPr>
      <w:r>
        <w:t xml:space="preserve">Describe </w:t>
      </w:r>
      <w:r w:rsidR="005B1649">
        <w:t>the molecular targets and mechanisms of action of broad antibiotic classes and why they function</w:t>
      </w:r>
    </w:p>
    <w:p w14:paraId="7D29A1C4" w14:textId="67CDBE06" w:rsidR="00093E5A" w:rsidRDefault="00191184" w:rsidP="00C358B1">
      <w:pPr>
        <w:pStyle w:val="ListParagraph"/>
        <w:numPr>
          <w:ilvl w:val="0"/>
          <w:numId w:val="4"/>
        </w:numPr>
      </w:pPr>
      <w:r>
        <w:t xml:space="preserve">Describe </w:t>
      </w:r>
      <w:r w:rsidR="00093E5A">
        <w:t>the mechanisms of action of antibiotic resistance enzymes and proteins</w:t>
      </w:r>
    </w:p>
    <w:p w14:paraId="1489DBF1" w14:textId="77777777" w:rsidR="00093E5A" w:rsidRDefault="00093E5A" w:rsidP="00C358B1">
      <w:pPr>
        <w:pStyle w:val="ListParagraph"/>
        <w:numPr>
          <w:ilvl w:val="0"/>
          <w:numId w:val="4"/>
        </w:numPr>
      </w:pPr>
      <w:r>
        <w:t>Be able to employ aseptic technique, streaking and plating, and serial dilutions to isolate and test soil bacteria for antimicrobial production</w:t>
      </w:r>
    </w:p>
    <w:p w14:paraId="6FDAF56F" w14:textId="4883C918" w:rsidR="005B1649" w:rsidRDefault="00093E5A" w:rsidP="00C358B1">
      <w:pPr>
        <w:pStyle w:val="ListParagraph"/>
        <w:numPr>
          <w:ilvl w:val="0"/>
          <w:numId w:val="4"/>
        </w:numPr>
      </w:pPr>
      <w:r>
        <w:t>Be able to employ agar plates, microtiter plates, sterile disks, and antibiotic dilutions to measure antibiotic susceptibility of bacteria</w:t>
      </w:r>
    </w:p>
    <w:p w14:paraId="124A419C" w14:textId="75AE5B16" w:rsidR="00093E5A" w:rsidRDefault="00093E5A" w:rsidP="00C358B1">
      <w:pPr>
        <w:pStyle w:val="ListParagraph"/>
        <w:numPr>
          <w:ilvl w:val="0"/>
          <w:numId w:val="4"/>
        </w:numPr>
      </w:pPr>
      <w:r>
        <w:t>Collect, analyze, and</w:t>
      </w:r>
      <w:r w:rsidR="00191184">
        <w:t xml:space="preserve"> critically</w:t>
      </w:r>
      <w:r>
        <w:t xml:space="preserve"> interpret data from their own experiments</w:t>
      </w:r>
    </w:p>
    <w:p w14:paraId="5338633D" w14:textId="7BE62092" w:rsidR="00191184" w:rsidRDefault="00191184" w:rsidP="00C358B1">
      <w:pPr>
        <w:pStyle w:val="ListParagraph"/>
        <w:numPr>
          <w:ilvl w:val="0"/>
          <w:numId w:val="4"/>
        </w:numPr>
      </w:pPr>
      <w:r>
        <w:t>Communicate in a written report the methods and results of the experiments they carried out over the course of the semester</w:t>
      </w:r>
    </w:p>
    <w:p w14:paraId="7DF769B1" w14:textId="1BBB1B2D" w:rsidR="00D163A2" w:rsidRPr="000B56FE" w:rsidRDefault="00D163A2" w:rsidP="00D163A2">
      <w:pPr>
        <w:pStyle w:val="Heading2"/>
        <w:rPr>
          <w:spacing w:val="-2"/>
        </w:rPr>
      </w:pPr>
      <w:r w:rsidRPr="000B56FE">
        <w:t>General</w:t>
      </w:r>
      <w:r w:rsidRPr="000B56FE">
        <w:rPr>
          <w:spacing w:val="-2"/>
        </w:rPr>
        <w:t xml:space="preserve"> </w:t>
      </w:r>
      <w:r w:rsidRPr="000B56FE">
        <w:t>Education</w:t>
      </w:r>
      <w:r w:rsidRPr="000B56FE">
        <w:rPr>
          <w:spacing w:val="-1"/>
        </w:rPr>
        <w:t xml:space="preserve"> </w:t>
      </w:r>
      <w:r w:rsidRPr="000B56FE">
        <w:rPr>
          <w:spacing w:val="-2"/>
        </w:rPr>
        <w:t>Categories</w:t>
      </w:r>
    </w:p>
    <w:p w14:paraId="5C3BFF32" w14:textId="40B825F2" w:rsidR="00C731EF" w:rsidRPr="00465331" w:rsidRDefault="00465331" w:rsidP="0072638A">
      <w:r>
        <w:t xml:space="preserve">This is </w:t>
      </w:r>
      <w:r w:rsidR="00093E5A">
        <w:t xml:space="preserve">a laboratory </w:t>
      </w:r>
      <w:r>
        <w:t>course.</w:t>
      </w:r>
      <w:r w:rsidR="009E3404">
        <w:t xml:space="preserve"> Each class period will be divided into a ~</w:t>
      </w:r>
      <w:r w:rsidR="00C8183F">
        <w:t>3</w:t>
      </w:r>
      <w:r w:rsidR="009E3404">
        <w:t>0 minute lecture and a ~</w:t>
      </w:r>
      <w:r w:rsidR="00C8183F">
        <w:t>9</w:t>
      </w:r>
      <w:r w:rsidR="009E3404">
        <w:t>0 minute laboratory bl</w:t>
      </w:r>
      <w:r w:rsidR="00C8183F">
        <w:t>o</w:t>
      </w:r>
      <w:r w:rsidR="009E3404">
        <w:t>ck of time.</w:t>
      </w:r>
    </w:p>
    <w:p w14:paraId="2C466444" w14:textId="05BDC505" w:rsidR="00C358B1" w:rsidRPr="000B56FE" w:rsidRDefault="00C358B1" w:rsidP="002703D2">
      <w:pPr>
        <w:pStyle w:val="Heading2"/>
      </w:pPr>
      <w:r w:rsidRPr="000B56FE">
        <w:t>Prerequisites</w:t>
      </w:r>
    </w:p>
    <w:p w14:paraId="23815315" w14:textId="13C9EBD9" w:rsidR="00C358B1" w:rsidRPr="00FB406F" w:rsidRDefault="003B7076" w:rsidP="002703D2">
      <w:pPr>
        <w:rPr>
          <w:i/>
          <w:iCs/>
          <w:color w:val="467886"/>
          <w:u w:val="single"/>
        </w:rPr>
      </w:pPr>
      <w:r>
        <w:t>Students wishing to take the course should have introductory microbiology/molecular biology (</w:t>
      </w:r>
      <w:r>
        <w:rPr>
          <w:i/>
          <w:iCs/>
        </w:rPr>
        <w:t xml:space="preserve">e.g. </w:t>
      </w:r>
      <w:r w:rsidR="00465331">
        <w:t>MCB 10</w:t>
      </w:r>
      <w:r>
        <w:t>0</w:t>
      </w:r>
      <w:r w:rsidR="00465331">
        <w:t xml:space="preserve"> or MCB 15</w:t>
      </w:r>
      <w:r>
        <w:t>0) and introductory lab (</w:t>
      </w:r>
      <w:r>
        <w:rPr>
          <w:i/>
          <w:iCs/>
        </w:rPr>
        <w:t xml:space="preserve">e.g., </w:t>
      </w:r>
      <w:r>
        <w:t>MCB 101 or MCB 151)</w:t>
      </w:r>
      <w:r w:rsidR="00465331">
        <w:t xml:space="preserve"> or equivalent course</w:t>
      </w:r>
      <w:r w:rsidR="00FB406F">
        <w:t xml:space="preserve"> experience</w:t>
      </w:r>
      <w:r>
        <w:t xml:space="preserve">. Interested students may contact Dr. Crofts to discuss </w:t>
      </w:r>
      <w:r w:rsidR="00673355">
        <w:t xml:space="preserve">exceptions to </w:t>
      </w:r>
      <w:r>
        <w:t>these prerequisites.</w:t>
      </w:r>
    </w:p>
    <w:p w14:paraId="518CE6A4" w14:textId="7EA1EF3B" w:rsidR="004911BF" w:rsidRDefault="004911BF" w:rsidP="004911BF">
      <w:pPr>
        <w:pStyle w:val="Heading1"/>
      </w:pPr>
      <w:r>
        <w:t>Course Materials</w:t>
      </w:r>
    </w:p>
    <w:p w14:paraId="11D41DBE" w14:textId="4F01FB8A" w:rsidR="00C358B1" w:rsidRPr="000B56FE" w:rsidRDefault="00C358B1" w:rsidP="004911BF">
      <w:pPr>
        <w:pStyle w:val="Heading2"/>
      </w:pPr>
      <w:r w:rsidRPr="000B56FE">
        <w:t>Learning</w:t>
      </w:r>
      <w:r w:rsidRPr="000B56FE">
        <w:rPr>
          <w:spacing w:val="-4"/>
        </w:rPr>
        <w:t xml:space="preserve"> </w:t>
      </w:r>
      <w:r w:rsidRPr="000B56FE">
        <w:t>Management</w:t>
      </w:r>
      <w:r w:rsidRPr="000B56FE">
        <w:rPr>
          <w:spacing w:val="-3"/>
        </w:rPr>
        <w:t xml:space="preserve"> </w:t>
      </w:r>
      <w:r w:rsidRPr="000B56FE">
        <w:rPr>
          <w:spacing w:val="-2"/>
        </w:rPr>
        <w:t>System</w:t>
      </w:r>
    </w:p>
    <w:p w14:paraId="1185BD4B" w14:textId="22BAE1FB" w:rsidR="00C358B1" w:rsidRPr="000B56FE" w:rsidRDefault="00C358B1" w:rsidP="004911BF">
      <w:hyperlink r:id="rId11" w:history="1">
        <w:r w:rsidRPr="00F55895">
          <w:rPr>
            <w:rStyle w:val="Hyperlink"/>
          </w:rPr>
          <w:t>Canvas</w:t>
        </w:r>
      </w:hyperlink>
    </w:p>
    <w:p w14:paraId="05EA9302" w14:textId="3591D142" w:rsidR="00C358B1" w:rsidRPr="000B56FE" w:rsidRDefault="00C358B1" w:rsidP="004911BF">
      <w:pPr>
        <w:pStyle w:val="Heading2"/>
      </w:pPr>
      <w:r w:rsidRPr="000B56FE">
        <w:lastRenderedPageBreak/>
        <w:t>Required</w:t>
      </w:r>
      <w:r w:rsidRPr="000B56FE">
        <w:rPr>
          <w:spacing w:val="-3"/>
        </w:rPr>
        <w:t xml:space="preserve"> </w:t>
      </w:r>
      <w:r w:rsidRPr="000B56FE">
        <w:t>and</w:t>
      </w:r>
      <w:r w:rsidRPr="000B56FE">
        <w:rPr>
          <w:spacing w:val="-3"/>
        </w:rPr>
        <w:t xml:space="preserve"> </w:t>
      </w:r>
      <w:r w:rsidRPr="000B56FE">
        <w:t>Recommended</w:t>
      </w:r>
      <w:r w:rsidRPr="000B56FE">
        <w:rPr>
          <w:spacing w:val="-2"/>
        </w:rPr>
        <w:t xml:space="preserve"> </w:t>
      </w:r>
      <w:r w:rsidRPr="000B56FE">
        <w:t>Course</w:t>
      </w:r>
      <w:r w:rsidRPr="000B56FE">
        <w:rPr>
          <w:spacing w:val="-2"/>
        </w:rPr>
        <w:t xml:space="preserve"> Readings</w:t>
      </w:r>
    </w:p>
    <w:p w14:paraId="13165C31" w14:textId="11F07374" w:rsidR="00C358B1" w:rsidRDefault="00E60DBC" w:rsidP="004911BF">
      <w:r>
        <w:t>We will draw readings and protocols from “</w:t>
      </w:r>
      <w:r w:rsidRPr="00E60DBC">
        <w:t>Tiny Earth - A Research Guide to Studentsourcing Antibiotic Discovery</w:t>
      </w:r>
      <w:r>
        <w:t>”. I will assign chapters based on the 2022 edition but other editions will likely have the same material available and may be compatible with the course.</w:t>
      </w:r>
    </w:p>
    <w:p w14:paraId="2FED4A40" w14:textId="7F0C181C" w:rsidR="00F61CAF" w:rsidRPr="00E60DBC" w:rsidRDefault="00F61CAF" w:rsidP="004911BF">
      <w:r>
        <w:t>Additional materials in the form of protocols and papers will be provided over the course of the semester.</w:t>
      </w:r>
    </w:p>
    <w:p w14:paraId="0DFA2AC7" w14:textId="762D5DC7" w:rsidR="00C358B1" w:rsidRPr="000B56FE" w:rsidRDefault="00C358B1" w:rsidP="004911BF">
      <w:pPr>
        <w:pStyle w:val="Heading2"/>
      </w:pPr>
      <w:r w:rsidRPr="000B56FE">
        <w:t>Required</w:t>
      </w:r>
      <w:r w:rsidRPr="000B56FE">
        <w:rPr>
          <w:spacing w:val="-4"/>
        </w:rPr>
        <w:t xml:space="preserve"> </w:t>
      </w:r>
      <w:r w:rsidRPr="000B56FE">
        <w:t>and</w:t>
      </w:r>
      <w:r w:rsidRPr="000B56FE">
        <w:rPr>
          <w:spacing w:val="-3"/>
        </w:rPr>
        <w:t xml:space="preserve"> </w:t>
      </w:r>
      <w:r w:rsidRPr="000B56FE">
        <w:t>Recommended</w:t>
      </w:r>
      <w:r w:rsidRPr="000B56FE">
        <w:rPr>
          <w:spacing w:val="-2"/>
        </w:rPr>
        <w:t xml:space="preserve"> Materials</w:t>
      </w:r>
    </w:p>
    <w:p w14:paraId="5147D1CF" w14:textId="007E2104" w:rsidR="00C358B1" w:rsidRDefault="00E60DBC" w:rsidP="004911BF">
      <w:r w:rsidRPr="00E60DBC">
        <w:t>Close-toed shoes</w:t>
      </w:r>
      <w:r>
        <w:t xml:space="preserve"> and lab-appropriate clothing</w:t>
      </w:r>
      <w:r w:rsidR="008F149A">
        <w:t xml:space="preserve"> must be worn to each class</w:t>
      </w:r>
      <w:r w:rsidR="001C6E66">
        <w:t xml:space="preserve"> as personal protective equipment (PPE)</w:t>
      </w:r>
      <w:r w:rsidR="008F149A">
        <w:t>.</w:t>
      </w:r>
      <w:r w:rsidR="001C6E66">
        <w:t>Nitrile gloves and glasses will be made available in-class.</w:t>
      </w:r>
    </w:p>
    <w:p w14:paraId="57164670" w14:textId="607C1B16" w:rsidR="001C6E66" w:rsidRPr="00E60DBC" w:rsidRDefault="001C6E66" w:rsidP="004911BF">
      <w:r>
        <w:t>Students must also bring a notebook and writing materials to class to take notes and record results.</w:t>
      </w:r>
    </w:p>
    <w:p w14:paraId="05F197DA" w14:textId="7DC488EB" w:rsidR="00C358B1" w:rsidRPr="000B56FE" w:rsidRDefault="00C358B1" w:rsidP="004911BF">
      <w:pPr>
        <w:pStyle w:val="Heading2"/>
      </w:pPr>
      <w:r w:rsidRPr="000B56FE">
        <w:t>Required</w:t>
      </w:r>
      <w:r w:rsidRPr="000B56FE">
        <w:rPr>
          <w:spacing w:val="-4"/>
        </w:rPr>
        <w:t xml:space="preserve"> </w:t>
      </w:r>
      <w:r w:rsidRPr="000B56FE">
        <w:rPr>
          <w:spacing w:val="-2"/>
        </w:rPr>
        <w:t>Software</w:t>
      </w:r>
    </w:p>
    <w:p w14:paraId="652DDF43" w14:textId="6323E415" w:rsidR="00C358B1" w:rsidRDefault="00E60DBC" w:rsidP="006F7F3C">
      <w:r>
        <w:t xml:space="preserve">Students have access to the </w:t>
      </w:r>
      <w:hyperlink r:id="rId12" w:history="1">
        <w:r w:rsidR="00C358B1" w:rsidRPr="000B56FE">
          <w:rPr>
            <w:rStyle w:val="Hyperlink"/>
          </w:rPr>
          <w:t>Microsoft Office</w:t>
        </w:r>
      </w:hyperlink>
      <w:r w:rsidR="00C358B1" w:rsidRPr="000B56FE">
        <w:t xml:space="preserve"> </w:t>
      </w:r>
      <w:r>
        <w:t>suite through the U of I (Specifically, Word, Excel, and PowerPoint)</w:t>
      </w:r>
      <w:r w:rsidR="00215A85">
        <w:t>.</w:t>
      </w:r>
    </w:p>
    <w:p w14:paraId="3964973F" w14:textId="4518BBD5" w:rsidR="00E60DBC" w:rsidRDefault="00E60DBC" w:rsidP="006F7F3C">
      <w:r>
        <w:t xml:space="preserve">Students can download the </w:t>
      </w:r>
      <w:hyperlink r:id="rId13" w:history="1">
        <w:r w:rsidRPr="00E60DBC">
          <w:rPr>
            <w:rStyle w:val="Hyperlink"/>
          </w:rPr>
          <w:t>ApE Plasmid Editor</w:t>
        </w:r>
      </w:hyperlink>
      <w:r>
        <w:t xml:space="preserve"> program for free</w:t>
      </w:r>
      <w:r w:rsidR="00215A85">
        <w:t xml:space="preserve"> for DNA sequence manipulation.</w:t>
      </w:r>
    </w:p>
    <w:p w14:paraId="528511EE" w14:textId="11CC89D7" w:rsidR="001C6E66" w:rsidRPr="000B56FE" w:rsidRDefault="001C6E66" w:rsidP="006F7F3C">
      <w:hyperlink r:id="rId14" w:history="1">
        <w:r w:rsidRPr="001C6E66">
          <w:rPr>
            <w:rStyle w:val="Hyperlink"/>
          </w:rPr>
          <w:t>MetaGeneMark</w:t>
        </w:r>
      </w:hyperlink>
      <w:r>
        <w:t xml:space="preserve">, </w:t>
      </w:r>
      <w:hyperlink r:id="rId15" w:history="1">
        <w:r w:rsidRPr="001C6E66">
          <w:rPr>
            <w:rStyle w:val="Hyperlink"/>
          </w:rPr>
          <w:t>Bakta</w:t>
        </w:r>
      </w:hyperlink>
      <w:r>
        <w:t xml:space="preserve">, </w:t>
      </w:r>
      <w:hyperlink r:id="rId16" w:history="1">
        <w:r w:rsidRPr="001C6E66">
          <w:rPr>
            <w:rStyle w:val="Hyperlink"/>
          </w:rPr>
          <w:t>BLAST</w:t>
        </w:r>
      </w:hyperlink>
      <w:r>
        <w:t xml:space="preserve">, and </w:t>
      </w:r>
      <w:hyperlink r:id="rId17" w:history="1">
        <w:r w:rsidRPr="001C6E66">
          <w:rPr>
            <w:rStyle w:val="Hyperlink"/>
          </w:rPr>
          <w:t>CARD</w:t>
        </w:r>
      </w:hyperlink>
      <w:r>
        <w:t xml:space="preserve"> are free programs accessible as online servers for annotating DNA and predicting gene function.</w:t>
      </w:r>
    </w:p>
    <w:p w14:paraId="4BB4F2AF" w14:textId="0C1EB9B9" w:rsidR="006F7F3C" w:rsidRDefault="006F7F3C" w:rsidP="006F7F3C">
      <w:pPr>
        <w:pStyle w:val="Heading1"/>
      </w:pPr>
      <w:r>
        <w:t>Course Requirements and Policies</w:t>
      </w:r>
    </w:p>
    <w:p w14:paraId="2BDAE83B" w14:textId="268EB4A5" w:rsidR="00C358B1" w:rsidRPr="000B56FE" w:rsidRDefault="00C358B1" w:rsidP="006F7F3C">
      <w:pPr>
        <w:pStyle w:val="Heading2"/>
      </w:pPr>
      <w:r w:rsidRPr="000B56FE">
        <w:t>Grading Breakdown</w:t>
      </w:r>
    </w:p>
    <w:tbl>
      <w:tblPr>
        <w:tblStyle w:val="TableGrid"/>
        <w:tblW w:w="0" w:type="auto"/>
        <w:tblLook w:val="04A0" w:firstRow="1" w:lastRow="0" w:firstColumn="1" w:lastColumn="0" w:noHBand="0" w:noVBand="1"/>
        <w:tblDescription w:val="Grading distribution table containing a list of instructional activities, the number of times they occur in the course, and their respective point values."/>
      </w:tblPr>
      <w:tblGrid>
        <w:gridCol w:w="3955"/>
        <w:gridCol w:w="1800"/>
        <w:gridCol w:w="1800"/>
        <w:gridCol w:w="1795"/>
      </w:tblGrid>
      <w:tr w:rsidR="00EF2BEB" w14:paraId="12255A2B" w14:textId="77777777" w:rsidTr="00E26F37">
        <w:trPr>
          <w:tblHeader/>
        </w:trPr>
        <w:tc>
          <w:tcPr>
            <w:tcW w:w="3955" w:type="dxa"/>
            <w:shd w:val="clear" w:color="auto" w:fill="2F5496" w:themeFill="accent1" w:themeFillShade="BF"/>
          </w:tcPr>
          <w:p w14:paraId="52193178" w14:textId="77777777" w:rsidR="00EF2BEB" w:rsidRPr="008E440F" w:rsidRDefault="00EF2BEB" w:rsidP="00E26F37">
            <w:pPr>
              <w:rPr>
                <w:b/>
                <w:color w:val="FFFFFF" w:themeColor="background1"/>
              </w:rPr>
            </w:pPr>
            <w:r w:rsidRPr="008E440F">
              <w:rPr>
                <w:b/>
                <w:color w:val="FFFFFF" w:themeColor="background1"/>
              </w:rPr>
              <w:t>Instructional Activity</w:t>
            </w:r>
          </w:p>
        </w:tc>
        <w:tc>
          <w:tcPr>
            <w:tcW w:w="1800" w:type="dxa"/>
            <w:shd w:val="clear" w:color="auto" w:fill="2F5496" w:themeFill="accent1" w:themeFillShade="BF"/>
          </w:tcPr>
          <w:p w14:paraId="2B8BB804" w14:textId="77777777" w:rsidR="00EF2BEB" w:rsidRPr="008E440F" w:rsidRDefault="00EF2BEB" w:rsidP="00E26F37">
            <w:pPr>
              <w:rPr>
                <w:b/>
                <w:color w:val="FFFFFF" w:themeColor="background1"/>
              </w:rPr>
            </w:pPr>
            <w:r w:rsidRPr="008E440F">
              <w:rPr>
                <w:b/>
                <w:color w:val="FFFFFF" w:themeColor="background1"/>
              </w:rPr>
              <w:t>Occurrences</w:t>
            </w:r>
          </w:p>
        </w:tc>
        <w:tc>
          <w:tcPr>
            <w:tcW w:w="1800" w:type="dxa"/>
            <w:shd w:val="clear" w:color="auto" w:fill="2F5496" w:themeFill="accent1" w:themeFillShade="BF"/>
          </w:tcPr>
          <w:p w14:paraId="2A1F28C0" w14:textId="77777777" w:rsidR="00EF2BEB" w:rsidRPr="008E440F" w:rsidRDefault="00EF2BEB" w:rsidP="00E26F37">
            <w:pPr>
              <w:rPr>
                <w:b/>
                <w:color w:val="FFFFFF" w:themeColor="background1"/>
              </w:rPr>
            </w:pPr>
            <w:r w:rsidRPr="008E440F">
              <w:rPr>
                <w:b/>
                <w:color w:val="FFFFFF" w:themeColor="background1"/>
              </w:rPr>
              <w:t>Point Value</w:t>
            </w:r>
          </w:p>
        </w:tc>
        <w:tc>
          <w:tcPr>
            <w:tcW w:w="1795" w:type="dxa"/>
            <w:shd w:val="clear" w:color="auto" w:fill="2F5496" w:themeFill="accent1" w:themeFillShade="BF"/>
          </w:tcPr>
          <w:p w14:paraId="086B298A" w14:textId="77777777" w:rsidR="00EF2BEB" w:rsidRPr="008E440F" w:rsidRDefault="00EF2BEB" w:rsidP="00E26F37">
            <w:pPr>
              <w:rPr>
                <w:b/>
                <w:color w:val="FFFFFF" w:themeColor="background1"/>
              </w:rPr>
            </w:pPr>
            <w:r w:rsidRPr="008E440F">
              <w:rPr>
                <w:b/>
                <w:color w:val="FFFFFF" w:themeColor="background1"/>
              </w:rPr>
              <w:t>Total Points</w:t>
            </w:r>
          </w:p>
        </w:tc>
      </w:tr>
      <w:tr w:rsidR="00EF2BEB" w14:paraId="74031A01" w14:textId="77777777" w:rsidTr="00E26F37">
        <w:tc>
          <w:tcPr>
            <w:tcW w:w="3955" w:type="dxa"/>
          </w:tcPr>
          <w:p w14:paraId="3E00DE97" w14:textId="15096F55" w:rsidR="00EF2BEB" w:rsidRPr="00AE10EE" w:rsidRDefault="00964313" w:rsidP="00E26F37">
            <w:r>
              <w:t>Class Assignments</w:t>
            </w:r>
          </w:p>
        </w:tc>
        <w:tc>
          <w:tcPr>
            <w:tcW w:w="1800" w:type="dxa"/>
          </w:tcPr>
          <w:p w14:paraId="42681ED2" w14:textId="6195EC1C" w:rsidR="00EF2BEB" w:rsidRPr="00AE10EE" w:rsidRDefault="003921BF" w:rsidP="00E26F37">
            <w:r>
              <w:t>24</w:t>
            </w:r>
          </w:p>
        </w:tc>
        <w:tc>
          <w:tcPr>
            <w:tcW w:w="1800" w:type="dxa"/>
          </w:tcPr>
          <w:p w14:paraId="2F734192" w14:textId="18B260BA" w:rsidR="00EF2BEB" w:rsidRPr="00AE10EE" w:rsidRDefault="003921BF" w:rsidP="00E26F37">
            <w:r>
              <w:t>5</w:t>
            </w:r>
          </w:p>
        </w:tc>
        <w:tc>
          <w:tcPr>
            <w:tcW w:w="1795" w:type="dxa"/>
          </w:tcPr>
          <w:p w14:paraId="73A74B5D" w14:textId="272E2ECB" w:rsidR="00EF2BEB" w:rsidRPr="00AE10EE" w:rsidRDefault="00964313" w:rsidP="00E26F37">
            <w:r>
              <w:t>120</w:t>
            </w:r>
          </w:p>
        </w:tc>
      </w:tr>
      <w:tr w:rsidR="00EF2BEB" w14:paraId="21DA3B00" w14:textId="77777777" w:rsidTr="00E26F37">
        <w:tc>
          <w:tcPr>
            <w:tcW w:w="3955" w:type="dxa"/>
          </w:tcPr>
          <w:p w14:paraId="360995DE" w14:textId="7C635CA3" w:rsidR="00EF2BEB" w:rsidRPr="00AE10EE" w:rsidRDefault="00964313" w:rsidP="00E26F37">
            <w:r>
              <w:t>Class Participation</w:t>
            </w:r>
          </w:p>
        </w:tc>
        <w:tc>
          <w:tcPr>
            <w:tcW w:w="1800" w:type="dxa"/>
          </w:tcPr>
          <w:p w14:paraId="28C74914" w14:textId="25EEACC8" w:rsidR="00EF2BEB" w:rsidRPr="00AE10EE" w:rsidRDefault="003921BF" w:rsidP="00E26F37">
            <w:r>
              <w:t>24</w:t>
            </w:r>
          </w:p>
        </w:tc>
        <w:tc>
          <w:tcPr>
            <w:tcW w:w="1800" w:type="dxa"/>
          </w:tcPr>
          <w:p w14:paraId="004B5F88" w14:textId="12742520" w:rsidR="00EF2BEB" w:rsidRPr="00AE10EE" w:rsidRDefault="00964313" w:rsidP="00E26F37">
            <w:r>
              <w:t>5</w:t>
            </w:r>
          </w:p>
        </w:tc>
        <w:tc>
          <w:tcPr>
            <w:tcW w:w="1795" w:type="dxa"/>
          </w:tcPr>
          <w:p w14:paraId="669CA105" w14:textId="119A5EF3" w:rsidR="00EF2BEB" w:rsidRPr="00AE10EE" w:rsidRDefault="003921BF" w:rsidP="00E26F37">
            <w:r>
              <w:t>120</w:t>
            </w:r>
          </w:p>
        </w:tc>
      </w:tr>
      <w:tr w:rsidR="00EF2BEB" w14:paraId="0D749703" w14:textId="77777777" w:rsidTr="00E26F37">
        <w:tc>
          <w:tcPr>
            <w:tcW w:w="3955" w:type="dxa"/>
          </w:tcPr>
          <w:p w14:paraId="4C162C5E" w14:textId="77777777" w:rsidR="00EF2BEB" w:rsidRPr="00AE10EE" w:rsidRDefault="00EF2BEB" w:rsidP="00E26F37">
            <w:r w:rsidRPr="00AE10EE">
              <w:t>Weekly Quizzes</w:t>
            </w:r>
          </w:p>
        </w:tc>
        <w:tc>
          <w:tcPr>
            <w:tcW w:w="1800" w:type="dxa"/>
          </w:tcPr>
          <w:p w14:paraId="09B0E2ED" w14:textId="2E547AA0" w:rsidR="00EF2BEB" w:rsidRPr="00AE10EE" w:rsidRDefault="00964313" w:rsidP="00E26F37">
            <w:r>
              <w:t>12</w:t>
            </w:r>
          </w:p>
        </w:tc>
        <w:tc>
          <w:tcPr>
            <w:tcW w:w="1800" w:type="dxa"/>
          </w:tcPr>
          <w:p w14:paraId="61FE4A3B" w14:textId="3854422A" w:rsidR="00EF2BEB" w:rsidRPr="00AE10EE" w:rsidRDefault="00964313" w:rsidP="00E26F37">
            <w:r>
              <w:t>5</w:t>
            </w:r>
          </w:p>
        </w:tc>
        <w:tc>
          <w:tcPr>
            <w:tcW w:w="1795" w:type="dxa"/>
          </w:tcPr>
          <w:p w14:paraId="737292BF" w14:textId="71937FB9" w:rsidR="00EF2BEB" w:rsidRPr="00AE10EE" w:rsidRDefault="00964313" w:rsidP="00E26F37">
            <w:r>
              <w:t>60</w:t>
            </w:r>
          </w:p>
        </w:tc>
      </w:tr>
      <w:tr w:rsidR="00EF2BEB" w14:paraId="7E19E05E" w14:textId="77777777" w:rsidTr="00E26F37">
        <w:tc>
          <w:tcPr>
            <w:tcW w:w="3955" w:type="dxa"/>
          </w:tcPr>
          <w:p w14:paraId="4CD1F7AD" w14:textId="025506A9" w:rsidR="00EF2BEB" w:rsidRPr="00AE10EE" w:rsidRDefault="00EF2BEB" w:rsidP="00E26F37">
            <w:r>
              <w:t xml:space="preserve">Midterm </w:t>
            </w:r>
            <w:r w:rsidR="00FB406F">
              <w:t>Practical</w:t>
            </w:r>
          </w:p>
        </w:tc>
        <w:tc>
          <w:tcPr>
            <w:tcW w:w="1800" w:type="dxa"/>
          </w:tcPr>
          <w:p w14:paraId="2E177A6C" w14:textId="0F6C9BDC" w:rsidR="00EF2BEB" w:rsidRPr="00AE10EE" w:rsidRDefault="00964313" w:rsidP="00E26F37">
            <w:r>
              <w:t>1</w:t>
            </w:r>
          </w:p>
        </w:tc>
        <w:tc>
          <w:tcPr>
            <w:tcW w:w="1800" w:type="dxa"/>
          </w:tcPr>
          <w:p w14:paraId="55C03B27" w14:textId="1F79355D" w:rsidR="00EF2BEB" w:rsidRPr="00AE10EE" w:rsidRDefault="00C62978" w:rsidP="00E26F37">
            <w:r>
              <w:t>6</w:t>
            </w:r>
            <w:r w:rsidR="00964313">
              <w:t>0</w:t>
            </w:r>
          </w:p>
        </w:tc>
        <w:tc>
          <w:tcPr>
            <w:tcW w:w="1795" w:type="dxa"/>
          </w:tcPr>
          <w:p w14:paraId="4AAA30AB" w14:textId="7B979BE2" w:rsidR="00EF2BEB" w:rsidRPr="00AE10EE" w:rsidRDefault="00C62978" w:rsidP="00E26F37">
            <w:r>
              <w:t>60</w:t>
            </w:r>
          </w:p>
        </w:tc>
      </w:tr>
      <w:tr w:rsidR="00EF2BEB" w14:paraId="71D56220" w14:textId="77777777" w:rsidTr="00E26F37">
        <w:tc>
          <w:tcPr>
            <w:tcW w:w="3955" w:type="dxa"/>
          </w:tcPr>
          <w:p w14:paraId="41C16498" w14:textId="3A6D63DA" w:rsidR="00EF2BEB" w:rsidRPr="00AE10EE" w:rsidRDefault="00EF2BEB" w:rsidP="00E26F37">
            <w:r w:rsidRPr="00AE10EE">
              <w:t xml:space="preserve">Final </w:t>
            </w:r>
            <w:r w:rsidR="00FB406F">
              <w:t>Practical</w:t>
            </w:r>
          </w:p>
        </w:tc>
        <w:tc>
          <w:tcPr>
            <w:tcW w:w="1800" w:type="dxa"/>
          </w:tcPr>
          <w:p w14:paraId="333CEB2B" w14:textId="1A4F6C82" w:rsidR="00EF2BEB" w:rsidRPr="00AE10EE" w:rsidRDefault="00964313" w:rsidP="00E26F37">
            <w:r>
              <w:t>1</w:t>
            </w:r>
          </w:p>
        </w:tc>
        <w:tc>
          <w:tcPr>
            <w:tcW w:w="1800" w:type="dxa"/>
          </w:tcPr>
          <w:p w14:paraId="4316A331" w14:textId="772734D8" w:rsidR="00EF2BEB" w:rsidRPr="00AE10EE" w:rsidRDefault="00C62978" w:rsidP="00E26F37">
            <w:r>
              <w:t>60</w:t>
            </w:r>
          </w:p>
        </w:tc>
        <w:tc>
          <w:tcPr>
            <w:tcW w:w="1795" w:type="dxa"/>
          </w:tcPr>
          <w:p w14:paraId="567F6F15" w14:textId="6CAA17CB" w:rsidR="00EF2BEB" w:rsidRPr="00AE10EE" w:rsidRDefault="00C62978" w:rsidP="00E26F37">
            <w:r>
              <w:t>60</w:t>
            </w:r>
          </w:p>
        </w:tc>
      </w:tr>
      <w:tr w:rsidR="00EF2BEB" w14:paraId="0CC25DC1" w14:textId="77777777" w:rsidTr="00E26F37">
        <w:tc>
          <w:tcPr>
            <w:tcW w:w="3955" w:type="dxa"/>
          </w:tcPr>
          <w:p w14:paraId="22225C3D" w14:textId="3EB2D53F" w:rsidR="00EF2BEB" w:rsidRPr="00AE10EE" w:rsidRDefault="00EF2BEB" w:rsidP="00E26F37">
            <w:r w:rsidRPr="00AE10EE">
              <w:t xml:space="preserve">Final </w:t>
            </w:r>
            <w:r w:rsidR="00C62978">
              <w:t>Report</w:t>
            </w:r>
          </w:p>
        </w:tc>
        <w:tc>
          <w:tcPr>
            <w:tcW w:w="1800" w:type="dxa"/>
          </w:tcPr>
          <w:p w14:paraId="1B395852" w14:textId="46074E9C" w:rsidR="00EF2BEB" w:rsidRPr="00AE10EE" w:rsidRDefault="00964313" w:rsidP="00E26F37">
            <w:r>
              <w:t>1</w:t>
            </w:r>
          </w:p>
        </w:tc>
        <w:tc>
          <w:tcPr>
            <w:tcW w:w="1800" w:type="dxa"/>
          </w:tcPr>
          <w:p w14:paraId="01FDF232" w14:textId="79B57CF6" w:rsidR="00EF2BEB" w:rsidRPr="00AE10EE" w:rsidRDefault="00C62978" w:rsidP="00E26F37">
            <w:r>
              <w:t>80</w:t>
            </w:r>
          </w:p>
        </w:tc>
        <w:tc>
          <w:tcPr>
            <w:tcW w:w="1795" w:type="dxa"/>
          </w:tcPr>
          <w:p w14:paraId="064128AE" w14:textId="17A02F52" w:rsidR="00EF2BEB" w:rsidRPr="00AE10EE" w:rsidRDefault="00C62978" w:rsidP="00E26F37">
            <w:r>
              <w:t>80</w:t>
            </w:r>
          </w:p>
        </w:tc>
      </w:tr>
      <w:tr w:rsidR="00EF2BEB" w14:paraId="02C98EBD" w14:textId="77777777" w:rsidTr="00E26F37">
        <w:tc>
          <w:tcPr>
            <w:tcW w:w="3955" w:type="dxa"/>
          </w:tcPr>
          <w:p w14:paraId="1793649C" w14:textId="77777777" w:rsidR="00EF2BEB" w:rsidRPr="00AE10EE" w:rsidRDefault="00EF2BEB" w:rsidP="00E26F37">
            <w:r w:rsidRPr="00AE10EE">
              <w:lastRenderedPageBreak/>
              <w:t>Total</w:t>
            </w:r>
          </w:p>
        </w:tc>
        <w:tc>
          <w:tcPr>
            <w:tcW w:w="1800" w:type="dxa"/>
          </w:tcPr>
          <w:p w14:paraId="0C878567" w14:textId="77777777" w:rsidR="00EF2BEB" w:rsidRPr="00AE10EE" w:rsidRDefault="00EF2BEB" w:rsidP="00E26F37"/>
        </w:tc>
        <w:tc>
          <w:tcPr>
            <w:tcW w:w="1800" w:type="dxa"/>
          </w:tcPr>
          <w:p w14:paraId="46156D00" w14:textId="77777777" w:rsidR="00EF2BEB" w:rsidRPr="00AE10EE" w:rsidRDefault="00EF2BEB" w:rsidP="00E26F37"/>
        </w:tc>
        <w:tc>
          <w:tcPr>
            <w:tcW w:w="1795" w:type="dxa"/>
          </w:tcPr>
          <w:p w14:paraId="3F0375C3" w14:textId="46F64122" w:rsidR="00EF2BEB" w:rsidRDefault="00C62978" w:rsidP="00E26F37">
            <w:r>
              <w:t>5</w:t>
            </w:r>
            <w:r w:rsidR="00964313">
              <w:t>00</w:t>
            </w:r>
          </w:p>
        </w:tc>
      </w:tr>
    </w:tbl>
    <w:p w14:paraId="233D0F23" w14:textId="77777777" w:rsidR="00E60DBC" w:rsidRDefault="00E60DBC" w:rsidP="00EF2BEB"/>
    <w:p w14:paraId="5E9FBEFF" w14:textId="2600BC50" w:rsidR="00E60DBC" w:rsidRPr="000B56FE" w:rsidRDefault="00E60DBC" w:rsidP="00EF2BEB">
      <w:r>
        <w:t>As this is an experimental course grading breakdown may be adjusted</w:t>
      </w:r>
      <w:r w:rsidR="00964313">
        <w:t xml:space="preserve"> during the semester. Any changes will be widely communicated inside and out of the classroom.</w:t>
      </w:r>
      <w:r>
        <w:t xml:space="preserve"> </w:t>
      </w:r>
    </w:p>
    <w:p w14:paraId="7BDA6964" w14:textId="1851C2D0" w:rsidR="00C358B1" w:rsidRPr="000B56FE" w:rsidRDefault="00F42F92" w:rsidP="006F7F3C">
      <w:pPr>
        <w:pStyle w:val="Heading2"/>
      </w:pPr>
      <w:r>
        <w:t>Course Components</w:t>
      </w:r>
    </w:p>
    <w:p w14:paraId="322FC787" w14:textId="51487D9D" w:rsidR="00F42F92" w:rsidRDefault="00964313" w:rsidP="00F42F92">
      <w:pPr>
        <w:pStyle w:val="Heading3"/>
      </w:pPr>
      <w:r>
        <w:t xml:space="preserve">Class </w:t>
      </w:r>
      <w:r w:rsidR="00F42F92">
        <w:t>Assignments</w:t>
      </w:r>
    </w:p>
    <w:p w14:paraId="69F45E0B" w14:textId="6B9EC5DC" w:rsidR="00F42F92" w:rsidRPr="00FB406F" w:rsidRDefault="00FB406F" w:rsidP="00F42F92">
      <w:r>
        <w:t>Class assignments will generally involve independent research relevant to the upcoming class (</w:t>
      </w:r>
      <w:r>
        <w:rPr>
          <w:i/>
          <w:iCs/>
        </w:rPr>
        <w:t xml:space="preserve">e.g., </w:t>
      </w:r>
      <w:r>
        <w:t xml:space="preserve">before soil plating choosing a soil type, before antibiotic testing choosing and researching a tester strains, </w:t>
      </w:r>
      <w:r w:rsidRPr="00FB406F">
        <w:rPr>
          <w:i/>
          <w:iCs/>
        </w:rPr>
        <w:t>etc</w:t>
      </w:r>
      <w:r>
        <w:t xml:space="preserve">.). Assignments will be </w:t>
      </w:r>
      <w:r w:rsidR="008F149A">
        <w:t>due on</w:t>
      </w:r>
      <w:r>
        <w:t xml:space="preserve"> the day of class prior to 10:00 am and will be submitted through Canvas.</w:t>
      </w:r>
    </w:p>
    <w:p w14:paraId="62ADE291" w14:textId="2DB79796" w:rsidR="00626E9B" w:rsidRDefault="00964313" w:rsidP="00F42F92">
      <w:pPr>
        <w:pStyle w:val="Heading3"/>
      </w:pPr>
      <w:r>
        <w:t>Class Participation</w:t>
      </w:r>
    </w:p>
    <w:p w14:paraId="54B53AD2" w14:textId="7C79988C" w:rsidR="00626E9B" w:rsidRDefault="00FB406F" w:rsidP="00626E9B">
      <w:r>
        <w:t>Class participation will be evaluated using the scale below during your time in class each lesson.</w:t>
      </w:r>
    </w:p>
    <w:p w14:paraId="6726837D" w14:textId="20514FAB" w:rsidR="00FB406F" w:rsidRDefault="00FB406F" w:rsidP="00626E9B">
      <w:r>
        <w:t>5 points – Student is present, fully prepared for the lesson (lecture and practical aspects</w:t>
      </w:r>
      <w:r w:rsidR="001C6E66">
        <w:t>, including wearing lab appropriate attire</w:t>
      </w:r>
      <w:r>
        <w:t>), interacting with their group but not dominating it, and contributing to in-class discussion</w:t>
      </w:r>
      <w:r w:rsidR="00E97E09">
        <w:t>, small-group discussion, or working with their lab partner(s)</w:t>
      </w:r>
      <w:r>
        <w:t xml:space="preserve"> in an interested and respectful way.</w:t>
      </w:r>
    </w:p>
    <w:p w14:paraId="1832E49F" w14:textId="6CCA2B17" w:rsidR="00FB406F" w:rsidRDefault="00FB406F" w:rsidP="00FB406F">
      <w:r>
        <w:t>4 Points – Student is present and largely prepared for the lesson,</w:t>
      </w:r>
      <w:r w:rsidR="00E97E09">
        <w:t xml:space="preserve"> and</w:t>
      </w:r>
      <w:r>
        <w:t xml:space="preserve"> interacting with their group </w:t>
      </w:r>
      <w:r w:rsidR="00E97E09">
        <w:t>or</w:t>
      </w:r>
      <w:r>
        <w:t xml:space="preserve"> the general discussion.</w:t>
      </w:r>
    </w:p>
    <w:p w14:paraId="31EF17C5" w14:textId="6959EA8D" w:rsidR="00FB406F" w:rsidRDefault="00FB406F" w:rsidP="00FB406F">
      <w:r>
        <w:t xml:space="preserve">3 Points – Student is present but poorly prepared for the </w:t>
      </w:r>
      <w:r w:rsidR="00E97E09">
        <w:t xml:space="preserve">lesson and is </w:t>
      </w:r>
      <w:r>
        <w:t xml:space="preserve">interacting with their group </w:t>
      </w:r>
      <w:r w:rsidR="00E97E09">
        <w:t xml:space="preserve">or </w:t>
      </w:r>
      <w:r>
        <w:t>the general discussion.</w:t>
      </w:r>
    </w:p>
    <w:p w14:paraId="28E38AE0" w14:textId="1FB607B5" w:rsidR="00FB406F" w:rsidRDefault="00FB406F" w:rsidP="00FB406F">
      <w:r>
        <w:t>2 Points – Student is present but poorly prepared for the lesson, fails to interact with their group or the general discussion or does so in a disrespectful manner.</w:t>
      </w:r>
    </w:p>
    <w:p w14:paraId="3FCCCE58" w14:textId="77777777" w:rsidR="00FB406F" w:rsidRDefault="00FB406F" w:rsidP="00FB406F">
      <w:r>
        <w:t>1 Points – Student is present but unprepared for the lesson, does not interact or does so in a disrespectful manner.</w:t>
      </w:r>
    </w:p>
    <w:p w14:paraId="2F14CB0E" w14:textId="44C799AD" w:rsidR="00FB406F" w:rsidRDefault="00FB406F" w:rsidP="00FB406F">
      <w:r>
        <w:t>0 Points – Student is absent without explanation.</w:t>
      </w:r>
    </w:p>
    <w:p w14:paraId="2247AD53" w14:textId="77777777" w:rsidR="009F5B9E" w:rsidRDefault="009F5B9E" w:rsidP="00F42F92">
      <w:pPr>
        <w:pStyle w:val="Heading3"/>
      </w:pPr>
      <w:r>
        <w:t>Weekly Quizzes</w:t>
      </w:r>
    </w:p>
    <w:p w14:paraId="1A36BFBF" w14:textId="273CBBA5" w:rsidR="009F5B9E" w:rsidRPr="00626E9B" w:rsidRDefault="00FB406F" w:rsidP="009F5B9E">
      <w:r>
        <w:t xml:space="preserve">Short, low-stakes </w:t>
      </w:r>
      <w:r w:rsidR="00E97E09">
        <w:t xml:space="preserve">formative assessment </w:t>
      </w:r>
      <w:r>
        <w:t xml:space="preserve">quizzes will be taken in class </w:t>
      </w:r>
      <w:r w:rsidR="00C62978">
        <w:t xml:space="preserve">once a week </w:t>
      </w:r>
      <w:r>
        <w:t xml:space="preserve">to </w:t>
      </w:r>
      <w:r w:rsidR="00E97E09">
        <w:t xml:space="preserve">gauge </w:t>
      </w:r>
      <w:r w:rsidR="002235BF">
        <w:t xml:space="preserve">understanding of </w:t>
      </w:r>
      <w:r>
        <w:t>concepts</w:t>
      </w:r>
      <w:r w:rsidR="002235BF">
        <w:t xml:space="preserve"> from the pre-class assignments and in-class lessons. Quizzes will be taken on paper handouts and handed in during class.</w:t>
      </w:r>
    </w:p>
    <w:p w14:paraId="54EBD44A" w14:textId="26764E30" w:rsidR="002235BF" w:rsidRDefault="002235BF" w:rsidP="002235BF">
      <w:pPr>
        <w:pStyle w:val="Heading3"/>
      </w:pPr>
      <w:r>
        <w:lastRenderedPageBreak/>
        <w:t>Practical Exams</w:t>
      </w:r>
    </w:p>
    <w:p w14:paraId="763C0C19" w14:textId="6210A8DF" w:rsidR="002235BF" w:rsidRPr="002235BF" w:rsidRDefault="002235BF" w:rsidP="002235BF">
      <w:pPr>
        <w:rPr>
          <w:spacing w:val="-5"/>
        </w:rPr>
      </w:pPr>
      <w:r>
        <w:t xml:space="preserve">In-class practical exams will occur during class near the middle and </w:t>
      </w:r>
      <w:r w:rsidR="008F149A">
        <w:t>end</w:t>
      </w:r>
      <w:r>
        <w:t xml:space="preserve"> of the semester. Practical exams will test understanding and mastery of concepts and laboratory skills. These will include laboratory techniques such as streaking for single colonies, laboratory concepts such as serial dilution calculations. The practical exams will also include a brief hand-written, open-ended portion to allow students to demonstrate their understanding of subjects that came up during class assignments (</w:t>
      </w:r>
      <w:r>
        <w:rPr>
          <w:i/>
          <w:iCs/>
        </w:rPr>
        <w:t xml:space="preserve">e.g., </w:t>
      </w:r>
      <w:r>
        <w:t>in 5 sentences or fewer explain how you chose a particular soil sample to study).</w:t>
      </w:r>
    </w:p>
    <w:p w14:paraId="311ABAC1" w14:textId="4EF886F9" w:rsidR="00F42F92" w:rsidRDefault="00626E9B" w:rsidP="00F42F92">
      <w:pPr>
        <w:pStyle w:val="Heading3"/>
      </w:pPr>
      <w:r>
        <w:t xml:space="preserve">Final </w:t>
      </w:r>
      <w:r w:rsidR="00C62978">
        <w:t>Report</w:t>
      </w:r>
    </w:p>
    <w:p w14:paraId="65AA1F86" w14:textId="43BBC406" w:rsidR="00C62978" w:rsidRDefault="002235BF" w:rsidP="008522B2">
      <w:r>
        <w:t xml:space="preserve">The final </w:t>
      </w:r>
      <w:r w:rsidR="00C62978">
        <w:t>report</w:t>
      </w:r>
      <w:r>
        <w:t xml:space="preserve"> will</w:t>
      </w:r>
      <w:r w:rsidR="00C62978">
        <w:t xml:space="preserve"> be the students’ summary of their work across the semester. It may consist of just their antibiotic producing isolate experiments</w:t>
      </w:r>
      <w:r w:rsidR="00B66B6D">
        <w:t xml:space="preserve"> or just</w:t>
      </w:r>
      <w:r w:rsidR="00C62978">
        <w:t xml:space="preserve"> their antibiotic resistance experiments. This report will include data acquired during class (</w:t>
      </w:r>
      <w:r w:rsidR="00C62978">
        <w:rPr>
          <w:i/>
          <w:iCs/>
        </w:rPr>
        <w:t xml:space="preserve">e.g., </w:t>
      </w:r>
      <w:r w:rsidR="00C62978">
        <w:t xml:space="preserve">soil colony counts, growth on differential media, MICs), concepts learned from assignments, and independent research when relevant. It should be </w:t>
      </w:r>
      <w:r>
        <w:t xml:space="preserve">formal, organized, referenced, and </w:t>
      </w:r>
      <w:r w:rsidR="00C62978">
        <w:t xml:space="preserve">consistently </w:t>
      </w:r>
      <w:r>
        <w:t xml:space="preserve">formatted. This component of the </w:t>
      </w:r>
      <w:r w:rsidR="00C62978">
        <w:t xml:space="preserve">class will be graded with different expectations for </w:t>
      </w:r>
      <w:r>
        <w:t xml:space="preserve">undergraduate students and </w:t>
      </w:r>
      <w:r w:rsidR="00C62978">
        <w:t xml:space="preserve">graduate students. Graduate students are expected to model their reports </w:t>
      </w:r>
      <w:r w:rsidR="00B66B6D">
        <w:t>off</w:t>
      </w:r>
      <w:r w:rsidR="00C62978">
        <w:t xml:space="preserve"> scientific </w:t>
      </w:r>
      <w:r w:rsidR="00B66B6D">
        <w:t>manuscripts</w:t>
      </w:r>
      <w:r w:rsidR="00C62978">
        <w:t>, with abstract, introduction, methods, results, and discussion sections</w:t>
      </w:r>
      <w:r w:rsidR="00B66B6D">
        <w:t>. Undergraduate students may turn in a document in line with a classic laboratory report. Examples will be provided.</w:t>
      </w:r>
    </w:p>
    <w:p w14:paraId="2A45E952" w14:textId="37EC6C2B" w:rsidR="002235BF" w:rsidRDefault="00B66B6D" w:rsidP="008522B2">
      <w:r>
        <w:t xml:space="preserve">Final reports </w:t>
      </w:r>
      <w:r w:rsidR="002235BF">
        <w:t>will be due during finals week</w:t>
      </w:r>
      <w:r>
        <w:t xml:space="preserve"> and will be submitted through Canvas.</w:t>
      </w:r>
    </w:p>
    <w:p w14:paraId="0D83BEEA" w14:textId="77777777" w:rsidR="00C358B1" w:rsidRPr="000B56FE" w:rsidRDefault="00C358B1" w:rsidP="006F7F3C">
      <w:pPr>
        <w:pStyle w:val="Heading2"/>
      </w:pPr>
      <w:r w:rsidRPr="000B56FE">
        <w:t>Late</w:t>
      </w:r>
      <w:r w:rsidRPr="000B56FE">
        <w:rPr>
          <w:spacing w:val="-3"/>
        </w:rPr>
        <w:t xml:space="preserve"> </w:t>
      </w:r>
      <w:r w:rsidRPr="000B56FE">
        <w:t>Assignment</w:t>
      </w:r>
      <w:r w:rsidRPr="000B56FE">
        <w:rPr>
          <w:spacing w:val="-3"/>
        </w:rPr>
        <w:t xml:space="preserve"> </w:t>
      </w:r>
      <w:r w:rsidRPr="000B56FE">
        <w:rPr>
          <w:spacing w:val="-2"/>
        </w:rPr>
        <w:t>Policy</w:t>
      </w:r>
    </w:p>
    <w:p w14:paraId="123FC8D7" w14:textId="3F063EBC" w:rsidR="00C358B1" w:rsidRPr="000B56FE" w:rsidRDefault="009E3404" w:rsidP="00F42F92">
      <w:r>
        <w:t>Late class assignments will be given a 1 point penalty per day late beginning after the start of the class when they were due. Late final projects will be given a 2 point penalty per day after the last day of finals week.</w:t>
      </w:r>
    </w:p>
    <w:p w14:paraId="46DEFAA3" w14:textId="77777777" w:rsidR="00C358B1" w:rsidRPr="000B56FE" w:rsidRDefault="00C358B1" w:rsidP="006F7F3C">
      <w:pPr>
        <w:pStyle w:val="Heading2"/>
      </w:pPr>
      <w:r w:rsidRPr="000B56FE">
        <w:t xml:space="preserve">Class Attendance </w:t>
      </w:r>
    </w:p>
    <w:p w14:paraId="4C8DFFD0" w14:textId="2F9D0FBB" w:rsidR="00C358B1" w:rsidRPr="009E3404" w:rsidRDefault="00C358B1" w:rsidP="00F42F92">
      <w:pPr>
        <w:rPr>
          <w:b/>
          <w:bCs/>
          <w:i/>
          <w:iCs/>
        </w:rPr>
      </w:pPr>
      <w:r w:rsidRPr="000B56FE">
        <w:t xml:space="preserve">The </w:t>
      </w:r>
      <w:hyperlink r:id="rId18" w:tgtFrame="_blank" w:history="1">
        <w:r w:rsidRPr="000B56FE">
          <w:rPr>
            <w:rStyle w:val="Hyperlink"/>
          </w:rPr>
          <w:t>Student Code</w:t>
        </w:r>
      </w:hyperlink>
      <w:r w:rsidRPr="000B56FE">
        <w:t xml:space="preserve"> states "Regular class attendance is expected of all students at the university." </w:t>
      </w:r>
      <w:r w:rsidR="009E3404">
        <w:t xml:space="preserve">As this is a laboratory course, in-class attendance, beginning on time, is required. </w:t>
      </w:r>
    </w:p>
    <w:p w14:paraId="7E9BB9EE" w14:textId="77777777" w:rsidR="00C358B1" w:rsidRPr="000B56FE" w:rsidRDefault="00C358B1" w:rsidP="006F7F3C">
      <w:pPr>
        <w:pStyle w:val="Heading2"/>
      </w:pPr>
      <w:r w:rsidRPr="000B56FE">
        <w:t>Absence</w:t>
      </w:r>
      <w:r w:rsidRPr="000B56FE">
        <w:rPr>
          <w:spacing w:val="-4"/>
        </w:rPr>
        <w:t xml:space="preserve"> </w:t>
      </w:r>
      <w:r w:rsidRPr="000B56FE">
        <w:rPr>
          <w:spacing w:val="-2"/>
        </w:rPr>
        <w:t>Policy</w:t>
      </w:r>
    </w:p>
    <w:p w14:paraId="1785B5AF" w14:textId="6B48E210" w:rsidR="02131228" w:rsidRPr="0001440D" w:rsidRDefault="0001440D">
      <w:pPr>
        <w:rPr>
          <w:b/>
          <w:bCs/>
          <w:i/>
          <w:iCs/>
        </w:rPr>
      </w:pPr>
      <w:r>
        <w:t>Students who have an unavoidable absence should reach out to Dr. Crofts (ahead of time if possible) to discuss options for making up the lesson and in-class participation points.</w:t>
      </w:r>
      <w:r w:rsidR="004B7324">
        <w:t xml:space="preserve"> Depending on the speed at which the class progresses there may be ‘free days’ available for students to practice techniques or make up absences</w:t>
      </w:r>
      <w:r w:rsidR="008F149A">
        <w:t xml:space="preserve"> (with potential deductions for class participation).</w:t>
      </w:r>
    </w:p>
    <w:p w14:paraId="0F6E4D10" w14:textId="764025E8" w:rsidR="00C358B1" w:rsidRPr="000B56FE" w:rsidRDefault="00C358B1" w:rsidP="006F7F3C">
      <w:pPr>
        <w:pStyle w:val="Heading2"/>
      </w:pPr>
      <w:r w:rsidRPr="000B56FE">
        <w:lastRenderedPageBreak/>
        <w:t xml:space="preserve">Participation </w:t>
      </w:r>
    </w:p>
    <w:p w14:paraId="158F1823" w14:textId="18A572A6" w:rsidR="00C358B1" w:rsidRPr="0001440D" w:rsidRDefault="0001440D" w:rsidP="00BB31A0">
      <w:r>
        <w:t>Active participation in class is expected for all students. This includes participation in the laboratory experiments, but also in small group exercises and full class discussion. To earn full credit for in-class participation students will need to voluntarily contribute to all aspects of the class above, come to class fully prepared, and participate in class in a way that is respectful to all.</w:t>
      </w:r>
    </w:p>
    <w:p w14:paraId="1454CE73" w14:textId="3B5991EE" w:rsidR="00C358B1" w:rsidRPr="000B56FE" w:rsidRDefault="00C358B1" w:rsidP="006F7F3C">
      <w:pPr>
        <w:pStyle w:val="Heading2"/>
      </w:pPr>
      <w:r w:rsidRPr="000B56FE">
        <w:t>Final</w:t>
      </w:r>
      <w:r w:rsidRPr="000B56FE">
        <w:rPr>
          <w:spacing w:val="-1"/>
        </w:rPr>
        <w:t xml:space="preserve"> </w:t>
      </w:r>
      <w:r w:rsidRPr="000B56FE">
        <w:t>Letter</w:t>
      </w:r>
      <w:r w:rsidRPr="000B56FE">
        <w:rPr>
          <w:spacing w:val="-1"/>
        </w:rPr>
        <w:t xml:space="preserve"> </w:t>
      </w:r>
      <w:r w:rsidRPr="000B56FE">
        <w:rPr>
          <w:spacing w:val="-2"/>
        </w:rPr>
        <w:t>Grades</w:t>
      </w:r>
      <w:r w:rsidR="00BB31A0">
        <w:rPr>
          <w:spacing w:val="-2"/>
        </w:rPr>
        <w:t>/</w:t>
      </w:r>
      <w:r w:rsidR="00BB31A0" w:rsidRPr="00BB31A0">
        <w:t xml:space="preserve"> </w:t>
      </w:r>
      <w:r w:rsidR="00BB31A0">
        <w:t>Grading Scale</w:t>
      </w:r>
    </w:p>
    <w:p w14:paraId="1480D6DD" w14:textId="57DFDBD6" w:rsidR="00C358B1" w:rsidRDefault="0001440D" w:rsidP="00C358B1">
      <w:pPr>
        <w:spacing w:after="60"/>
        <w:rPr>
          <w:iCs/>
          <w:spacing w:val="-2"/>
        </w:rPr>
      </w:pPr>
      <w:r>
        <w:rPr>
          <w:iCs/>
        </w:rPr>
        <w:t xml:space="preserve">The grading scale below will be used. </w:t>
      </w:r>
    </w:p>
    <w:p w14:paraId="04E51542" w14:textId="77777777" w:rsidR="003149AA" w:rsidRPr="00BB31A0" w:rsidRDefault="003149AA" w:rsidP="00C358B1">
      <w:pPr>
        <w:spacing w:after="60"/>
        <w:rPr>
          <w:iCs/>
          <w:spacing w:val="-2"/>
        </w:rPr>
      </w:pPr>
    </w:p>
    <w:tbl>
      <w:tblPr>
        <w:tblStyle w:val="TableGrid"/>
        <w:tblW w:w="0" w:type="auto"/>
        <w:tblLook w:val="04A0" w:firstRow="1" w:lastRow="0" w:firstColumn="1" w:lastColumn="0" w:noHBand="0" w:noVBand="1"/>
        <w:tblDescription w:val="Table containing a list of percentage ranges and corresponding letter grade values."/>
      </w:tblPr>
      <w:tblGrid>
        <w:gridCol w:w="2425"/>
        <w:gridCol w:w="1890"/>
      </w:tblGrid>
      <w:tr w:rsidR="00F57137" w14:paraId="263403DA" w14:textId="77777777" w:rsidTr="00A0317B">
        <w:trPr>
          <w:tblHeader/>
        </w:trPr>
        <w:tc>
          <w:tcPr>
            <w:tcW w:w="2425" w:type="dxa"/>
            <w:shd w:val="clear" w:color="auto" w:fill="2F5496" w:themeFill="accent1" w:themeFillShade="BF"/>
          </w:tcPr>
          <w:p w14:paraId="7EDDFB5A" w14:textId="77777777" w:rsidR="00F57137" w:rsidRPr="008E440F" w:rsidRDefault="00F57137" w:rsidP="00E26F37">
            <w:pPr>
              <w:rPr>
                <w:b/>
                <w:color w:val="FFFFFF" w:themeColor="background1"/>
              </w:rPr>
            </w:pPr>
            <w:r w:rsidRPr="008E440F">
              <w:rPr>
                <w:b/>
                <w:color w:val="FFFFFF" w:themeColor="background1"/>
              </w:rPr>
              <w:t>Percentage</w:t>
            </w:r>
          </w:p>
        </w:tc>
        <w:tc>
          <w:tcPr>
            <w:tcW w:w="1890" w:type="dxa"/>
            <w:shd w:val="clear" w:color="auto" w:fill="2F5496" w:themeFill="accent1" w:themeFillShade="BF"/>
          </w:tcPr>
          <w:p w14:paraId="2500AE86" w14:textId="77777777" w:rsidR="00F57137" w:rsidRPr="008E440F" w:rsidRDefault="00F57137" w:rsidP="00E26F37">
            <w:pPr>
              <w:rPr>
                <w:b/>
                <w:color w:val="FFFFFF" w:themeColor="background1"/>
              </w:rPr>
            </w:pPr>
            <w:r w:rsidRPr="008E440F">
              <w:rPr>
                <w:b/>
                <w:color w:val="FFFFFF" w:themeColor="background1"/>
              </w:rPr>
              <w:t>Letter Grade</w:t>
            </w:r>
          </w:p>
        </w:tc>
      </w:tr>
    </w:tbl>
    <w:tbl>
      <w:tblPr>
        <w:tblW w:w="4300" w:type="dxa"/>
        <w:tblInd w:w="-5" w:type="dxa"/>
        <w:tblCellMar>
          <w:top w:w="15" w:type="dxa"/>
          <w:bottom w:w="15" w:type="dxa"/>
        </w:tblCellMar>
        <w:tblLook w:val="04A0" w:firstRow="1" w:lastRow="0" w:firstColumn="1" w:lastColumn="0" w:noHBand="0" w:noVBand="1"/>
        <w:tblDescription w:val="Table containing a list of percentage ranges and corresponding letter grade values."/>
      </w:tblPr>
      <w:tblGrid>
        <w:gridCol w:w="2430"/>
        <w:gridCol w:w="1870"/>
      </w:tblGrid>
      <w:tr w:rsidR="00F57137" w:rsidRPr="000B56FE" w14:paraId="7E6C7D84"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tcPr>
          <w:p w14:paraId="2DBFA1E5" w14:textId="583622A7" w:rsidR="00F57137" w:rsidRPr="00EF2BEB" w:rsidRDefault="00F57137" w:rsidP="003149AA">
            <w:pPr>
              <w:spacing w:after="0"/>
              <w:rPr>
                <w:b/>
                <w:bCs/>
                <w:color w:val="FFFFFF" w:themeColor="background1"/>
              </w:rPr>
            </w:pPr>
            <w:r w:rsidRPr="000B56FE">
              <w:rPr>
                <w:color w:val="000000" w:themeColor="text1"/>
              </w:rPr>
              <w:t>98.00% - 100.00%</w:t>
            </w:r>
          </w:p>
        </w:tc>
        <w:tc>
          <w:tcPr>
            <w:tcW w:w="1870" w:type="dxa"/>
            <w:tcBorders>
              <w:top w:val="single" w:sz="4" w:space="0" w:color="auto"/>
              <w:left w:val="single" w:sz="4" w:space="0" w:color="auto"/>
              <w:bottom w:val="single" w:sz="4" w:space="0" w:color="auto"/>
              <w:right w:val="single" w:sz="4" w:space="0" w:color="auto"/>
            </w:tcBorders>
            <w:noWrap/>
            <w:vAlign w:val="center"/>
          </w:tcPr>
          <w:p w14:paraId="2BB29E37" w14:textId="33242C34" w:rsidR="00F57137" w:rsidRPr="00EF2BEB" w:rsidRDefault="00F57137" w:rsidP="003149AA">
            <w:pPr>
              <w:spacing w:after="0"/>
              <w:rPr>
                <w:b/>
                <w:bCs/>
                <w:color w:val="FFFFFF" w:themeColor="background1"/>
              </w:rPr>
            </w:pPr>
            <w:r w:rsidRPr="000B56FE">
              <w:rPr>
                <w:color w:val="000000" w:themeColor="text1"/>
              </w:rPr>
              <w:t>A+</w:t>
            </w:r>
          </w:p>
        </w:tc>
      </w:tr>
      <w:tr w:rsidR="00F57137" w:rsidRPr="000B56FE" w14:paraId="0F823FA3" w14:textId="77777777" w:rsidTr="345D016B">
        <w:trPr>
          <w:trHeight w:val="362"/>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318337B" w14:textId="3130BFA0" w:rsidR="00F57137" w:rsidRPr="000B56FE" w:rsidRDefault="00F57137" w:rsidP="003149AA">
            <w:pPr>
              <w:spacing w:after="0"/>
              <w:rPr>
                <w:color w:val="000000" w:themeColor="text1"/>
              </w:rPr>
            </w:pPr>
            <w:r w:rsidRPr="000B56FE">
              <w:rPr>
                <w:color w:val="000000" w:themeColor="text1"/>
              </w:rPr>
              <w:t>93.00% - 97.99%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727BB957" w14:textId="0A280AAF" w:rsidR="00F57137" w:rsidRPr="000B56FE" w:rsidRDefault="00F57137" w:rsidP="003149AA">
            <w:pPr>
              <w:spacing w:after="0"/>
              <w:rPr>
                <w:color w:val="000000" w:themeColor="text1"/>
              </w:rPr>
            </w:pPr>
            <w:r w:rsidRPr="000B56FE">
              <w:rPr>
                <w:color w:val="000000" w:themeColor="text1"/>
              </w:rPr>
              <w:t>A</w:t>
            </w:r>
          </w:p>
        </w:tc>
      </w:tr>
      <w:tr w:rsidR="00F57137" w:rsidRPr="000B56FE" w14:paraId="5E3B73A7"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12CFFB9A" w14:textId="400FE1ED" w:rsidR="00F57137" w:rsidRPr="000B56FE" w:rsidRDefault="00F57137" w:rsidP="003149AA">
            <w:pPr>
              <w:spacing w:after="0"/>
              <w:rPr>
                <w:color w:val="000000" w:themeColor="text1"/>
              </w:rPr>
            </w:pPr>
            <w:r w:rsidRPr="000B56FE">
              <w:rPr>
                <w:color w:val="000000" w:themeColor="text1"/>
              </w:rPr>
              <w:t>90.00% - 92.99%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FF3FCF0" w14:textId="0F0B3084" w:rsidR="00F57137" w:rsidRPr="000B56FE" w:rsidRDefault="00F57137" w:rsidP="003149AA">
            <w:pPr>
              <w:spacing w:after="0"/>
              <w:rPr>
                <w:color w:val="000000" w:themeColor="text1"/>
              </w:rPr>
            </w:pPr>
            <w:r w:rsidRPr="000B56FE">
              <w:rPr>
                <w:color w:val="000000" w:themeColor="text1"/>
              </w:rPr>
              <w:t>A-</w:t>
            </w:r>
          </w:p>
        </w:tc>
      </w:tr>
      <w:tr w:rsidR="00F57137" w:rsidRPr="000B56FE" w14:paraId="72CF21F8"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9D0C029" w14:textId="2CA95283" w:rsidR="00F57137" w:rsidRPr="000B56FE" w:rsidRDefault="00F57137" w:rsidP="003149AA">
            <w:pPr>
              <w:spacing w:after="0"/>
              <w:rPr>
                <w:color w:val="000000" w:themeColor="text1"/>
              </w:rPr>
            </w:pPr>
            <w:r w:rsidRPr="000B56FE">
              <w:rPr>
                <w:color w:val="000000" w:themeColor="text1"/>
              </w:rPr>
              <w:t>87.00% - 89.99%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868AD5A" w14:textId="04910DB6" w:rsidR="00F57137" w:rsidRPr="000B56FE" w:rsidRDefault="00F57137" w:rsidP="003149AA">
            <w:pPr>
              <w:spacing w:after="0"/>
              <w:rPr>
                <w:color w:val="000000" w:themeColor="text1"/>
              </w:rPr>
            </w:pPr>
            <w:r w:rsidRPr="000B56FE">
              <w:rPr>
                <w:color w:val="000000" w:themeColor="text1"/>
              </w:rPr>
              <w:t>B+</w:t>
            </w:r>
          </w:p>
        </w:tc>
      </w:tr>
      <w:tr w:rsidR="00F57137" w:rsidRPr="000B56FE" w14:paraId="36555C72"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0F5723DA" w14:textId="47A53CAF" w:rsidR="00F57137" w:rsidRPr="000B56FE" w:rsidRDefault="00F57137" w:rsidP="003149AA">
            <w:pPr>
              <w:spacing w:after="0"/>
              <w:rPr>
                <w:color w:val="000000" w:themeColor="text1"/>
              </w:rPr>
            </w:pPr>
            <w:r w:rsidRPr="000B56FE">
              <w:rPr>
                <w:color w:val="000000" w:themeColor="text1"/>
              </w:rPr>
              <w:t>83.00% - 86.99%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1D07264F" w14:textId="4631824D" w:rsidR="00F57137" w:rsidRPr="000B56FE" w:rsidRDefault="00F57137" w:rsidP="003149AA">
            <w:pPr>
              <w:spacing w:after="0"/>
              <w:rPr>
                <w:color w:val="000000" w:themeColor="text1"/>
              </w:rPr>
            </w:pPr>
            <w:r w:rsidRPr="000B56FE">
              <w:rPr>
                <w:color w:val="000000" w:themeColor="text1"/>
              </w:rPr>
              <w:t>B</w:t>
            </w:r>
          </w:p>
        </w:tc>
      </w:tr>
      <w:tr w:rsidR="00F57137" w:rsidRPr="000B56FE" w14:paraId="17CFF80A"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03C860A7" w14:textId="3AE0773C" w:rsidR="00F57137" w:rsidRPr="000B56FE" w:rsidRDefault="00F57137" w:rsidP="003149AA">
            <w:pPr>
              <w:spacing w:after="0"/>
              <w:rPr>
                <w:color w:val="000000" w:themeColor="text1"/>
              </w:rPr>
            </w:pPr>
            <w:r w:rsidRPr="000B56FE">
              <w:rPr>
                <w:color w:val="000000" w:themeColor="text1"/>
              </w:rPr>
              <w:t>80.00% - 82.99%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393094F9" w14:textId="6864E7EC" w:rsidR="00F57137" w:rsidRPr="000B56FE" w:rsidRDefault="00F57137" w:rsidP="003149AA">
            <w:pPr>
              <w:spacing w:after="0"/>
              <w:rPr>
                <w:color w:val="000000" w:themeColor="text1"/>
              </w:rPr>
            </w:pPr>
            <w:r w:rsidRPr="000B56FE">
              <w:rPr>
                <w:color w:val="000000" w:themeColor="text1"/>
              </w:rPr>
              <w:t>B-</w:t>
            </w:r>
          </w:p>
        </w:tc>
      </w:tr>
      <w:tr w:rsidR="00F57137" w:rsidRPr="000B56FE" w14:paraId="64CCFD71"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06B5A79" w14:textId="7701C01E" w:rsidR="00F57137" w:rsidRPr="000B56FE" w:rsidRDefault="00F57137" w:rsidP="003149AA">
            <w:pPr>
              <w:spacing w:after="0"/>
              <w:rPr>
                <w:color w:val="000000" w:themeColor="text1"/>
              </w:rPr>
            </w:pPr>
            <w:r w:rsidRPr="000B56FE">
              <w:rPr>
                <w:color w:val="000000" w:themeColor="text1"/>
              </w:rPr>
              <w:t>77.00% - 79.99%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517A8855" w14:textId="0277475E" w:rsidR="00F57137" w:rsidRPr="000B56FE" w:rsidRDefault="00F57137" w:rsidP="003149AA">
            <w:pPr>
              <w:spacing w:after="0"/>
              <w:rPr>
                <w:color w:val="000000" w:themeColor="text1"/>
              </w:rPr>
            </w:pPr>
            <w:r w:rsidRPr="000B56FE">
              <w:rPr>
                <w:color w:val="000000" w:themeColor="text1"/>
              </w:rPr>
              <w:t>C+</w:t>
            </w:r>
          </w:p>
        </w:tc>
      </w:tr>
      <w:tr w:rsidR="00F57137" w:rsidRPr="000B56FE" w14:paraId="4EC4A1BF"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723CCB7" w14:textId="6717E0AA" w:rsidR="00F57137" w:rsidRPr="000B56FE" w:rsidRDefault="00F57137" w:rsidP="003149AA">
            <w:pPr>
              <w:spacing w:after="0"/>
              <w:rPr>
                <w:color w:val="000000" w:themeColor="text1"/>
              </w:rPr>
            </w:pPr>
            <w:r w:rsidRPr="000B56FE">
              <w:rPr>
                <w:color w:val="000000" w:themeColor="text1"/>
              </w:rPr>
              <w:t>73.00% - 76.99%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3715B34" w14:textId="605D42BE" w:rsidR="00F57137" w:rsidRPr="000B56FE" w:rsidRDefault="00F57137" w:rsidP="003149AA">
            <w:pPr>
              <w:spacing w:after="0"/>
              <w:rPr>
                <w:color w:val="000000" w:themeColor="text1"/>
              </w:rPr>
            </w:pPr>
            <w:r w:rsidRPr="000B56FE">
              <w:rPr>
                <w:color w:val="000000" w:themeColor="text1"/>
              </w:rPr>
              <w:t>C</w:t>
            </w:r>
          </w:p>
        </w:tc>
      </w:tr>
      <w:tr w:rsidR="00F57137" w:rsidRPr="000B56FE" w14:paraId="5C04A596"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687DFDA4" w14:textId="6190CF6E" w:rsidR="00F57137" w:rsidRPr="000B56FE" w:rsidRDefault="00F57137" w:rsidP="003149AA">
            <w:pPr>
              <w:spacing w:after="0"/>
              <w:rPr>
                <w:color w:val="000000" w:themeColor="text1"/>
              </w:rPr>
            </w:pPr>
            <w:r w:rsidRPr="000B56FE">
              <w:rPr>
                <w:color w:val="000000" w:themeColor="text1"/>
              </w:rPr>
              <w:t>70.00% - 72.99%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447873F0" w14:textId="4818C28D" w:rsidR="00F57137" w:rsidRPr="000B56FE" w:rsidRDefault="00F57137" w:rsidP="003149AA">
            <w:pPr>
              <w:spacing w:after="0"/>
              <w:rPr>
                <w:color w:val="000000" w:themeColor="text1"/>
              </w:rPr>
            </w:pPr>
            <w:r w:rsidRPr="000B56FE">
              <w:rPr>
                <w:color w:val="000000" w:themeColor="text1"/>
              </w:rPr>
              <w:t>C-</w:t>
            </w:r>
          </w:p>
        </w:tc>
      </w:tr>
      <w:tr w:rsidR="00F57137" w:rsidRPr="000B56FE" w14:paraId="2FC36070"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39515ECF" w14:textId="24F45A39" w:rsidR="00F57137" w:rsidRPr="000B56FE" w:rsidRDefault="00F57137" w:rsidP="003149AA">
            <w:pPr>
              <w:spacing w:after="0"/>
              <w:rPr>
                <w:color w:val="000000" w:themeColor="text1"/>
              </w:rPr>
            </w:pPr>
            <w:r w:rsidRPr="000B56FE">
              <w:rPr>
                <w:color w:val="000000" w:themeColor="text1"/>
              </w:rPr>
              <w:t>67.00% - 69.99%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01AEF396" w14:textId="2E31545D" w:rsidR="00F57137" w:rsidRPr="000B56FE" w:rsidRDefault="00F57137" w:rsidP="003149AA">
            <w:pPr>
              <w:spacing w:after="0"/>
              <w:rPr>
                <w:color w:val="000000" w:themeColor="text1"/>
              </w:rPr>
            </w:pPr>
            <w:r w:rsidRPr="000B56FE">
              <w:rPr>
                <w:color w:val="000000" w:themeColor="text1"/>
              </w:rPr>
              <w:t>D+</w:t>
            </w:r>
          </w:p>
        </w:tc>
      </w:tr>
      <w:tr w:rsidR="00F57137" w:rsidRPr="000B56FE" w14:paraId="7C8CE554"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75578333" w14:textId="44953CED" w:rsidR="00F57137" w:rsidRPr="000B56FE" w:rsidRDefault="00F57137" w:rsidP="003149AA">
            <w:pPr>
              <w:spacing w:after="0"/>
              <w:rPr>
                <w:color w:val="000000" w:themeColor="text1"/>
              </w:rPr>
            </w:pPr>
            <w:r w:rsidRPr="000B56FE">
              <w:rPr>
                <w:color w:val="000000" w:themeColor="text1"/>
              </w:rPr>
              <w:t>63.00% - 66.99%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39513C8E" w14:textId="71C9C7B9" w:rsidR="00F57137" w:rsidRPr="000B56FE" w:rsidRDefault="00F57137" w:rsidP="003149AA">
            <w:pPr>
              <w:spacing w:after="0"/>
              <w:rPr>
                <w:color w:val="000000" w:themeColor="text1"/>
              </w:rPr>
            </w:pPr>
            <w:r w:rsidRPr="000B56FE">
              <w:rPr>
                <w:color w:val="000000" w:themeColor="text1"/>
              </w:rPr>
              <w:t>D</w:t>
            </w:r>
          </w:p>
        </w:tc>
      </w:tr>
      <w:tr w:rsidR="00F57137" w:rsidRPr="000B56FE" w14:paraId="4715F092"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4446CE3D" w14:textId="49ADE4CF" w:rsidR="00F57137" w:rsidRPr="000B56FE" w:rsidRDefault="00F57137" w:rsidP="003149AA">
            <w:pPr>
              <w:spacing w:after="0"/>
              <w:rPr>
                <w:color w:val="000000" w:themeColor="text1"/>
              </w:rPr>
            </w:pPr>
            <w:r w:rsidRPr="000B56FE">
              <w:rPr>
                <w:color w:val="000000" w:themeColor="text1"/>
              </w:rPr>
              <w:t>60.00% - 62.99%</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6B62C469" w14:textId="54F42CCB" w:rsidR="00F57137" w:rsidRPr="000B56FE" w:rsidRDefault="00F57137" w:rsidP="003149AA">
            <w:pPr>
              <w:spacing w:after="0"/>
              <w:rPr>
                <w:color w:val="000000" w:themeColor="text1"/>
              </w:rPr>
            </w:pPr>
            <w:r w:rsidRPr="000B56FE">
              <w:rPr>
                <w:color w:val="000000" w:themeColor="text1"/>
              </w:rPr>
              <w:t>D-</w:t>
            </w:r>
          </w:p>
        </w:tc>
      </w:tr>
      <w:tr w:rsidR="00F57137" w:rsidRPr="000B56FE" w14:paraId="092D39BB" w14:textId="77777777" w:rsidTr="345D016B">
        <w:trPr>
          <w:trHeight w:val="300"/>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FBAF7C4" w14:textId="7E790F9B" w:rsidR="00F57137" w:rsidRPr="000B56FE" w:rsidRDefault="00F57137" w:rsidP="003149AA">
            <w:pPr>
              <w:spacing w:after="0"/>
              <w:rPr>
                <w:color w:val="000000" w:themeColor="text1"/>
              </w:rPr>
            </w:pPr>
            <w:r w:rsidRPr="000B56FE">
              <w:rPr>
                <w:color w:val="000000" w:themeColor="text1"/>
              </w:rPr>
              <w:t>59.</w:t>
            </w:r>
            <w:r w:rsidR="00CD4EA7">
              <w:rPr>
                <w:color w:val="000000" w:themeColor="text1"/>
              </w:rPr>
              <w:t>99</w:t>
            </w:r>
            <w:r w:rsidRPr="000B56FE">
              <w:rPr>
                <w:color w:val="000000" w:themeColor="text1"/>
              </w:rPr>
              <w:t>% and below</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32BFF52B" w14:textId="7A594FEF" w:rsidR="00F57137" w:rsidRPr="000B56FE" w:rsidRDefault="00F57137" w:rsidP="003149AA">
            <w:pPr>
              <w:spacing w:after="0"/>
              <w:rPr>
                <w:color w:val="000000" w:themeColor="text1"/>
              </w:rPr>
            </w:pPr>
            <w:r w:rsidRPr="000B56FE">
              <w:rPr>
                <w:color w:val="000000" w:themeColor="text1"/>
              </w:rPr>
              <w:t>F</w:t>
            </w:r>
          </w:p>
        </w:tc>
      </w:tr>
    </w:tbl>
    <w:p w14:paraId="54FEBB47" w14:textId="1FCFF391" w:rsidR="345D016B" w:rsidRDefault="345D016B" w:rsidP="345D016B">
      <w:pPr>
        <w:pStyle w:val="Heading1"/>
      </w:pPr>
    </w:p>
    <w:p w14:paraId="369897CD" w14:textId="424FFAEA" w:rsidR="003149AA" w:rsidRDefault="003149AA" w:rsidP="003149AA">
      <w:pPr>
        <w:pStyle w:val="Heading1"/>
      </w:pPr>
      <w:r>
        <w:t>Additional Course and Campus Policies</w:t>
      </w:r>
    </w:p>
    <w:p w14:paraId="5AC90FA3" w14:textId="2C823B4B" w:rsidR="00C358B1" w:rsidRPr="000B56FE" w:rsidRDefault="345D016B" w:rsidP="003149AA">
      <w:pPr>
        <w:pStyle w:val="Heading2"/>
      </w:pPr>
      <w:r>
        <w:t xml:space="preserve">Academic Integrity </w:t>
      </w:r>
    </w:p>
    <w:p w14:paraId="5036FFDF" w14:textId="42962A44" w:rsidR="345D016B" w:rsidRDefault="5F60AB8B" w:rsidP="5F60AB8B">
      <w:pPr>
        <w:pStyle w:val="BodyText"/>
        <w:ind w:right="173"/>
        <w:rPr>
          <w:rFonts w:ascii="Arial" w:eastAsia="Arial" w:hAnsi="Arial" w:cs="Arial"/>
          <w:color w:val="000000" w:themeColor="text1"/>
        </w:rPr>
      </w:pPr>
      <w:r w:rsidRPr="5F60AB8B">
        <w:rPr>
          <w:rFonts w:ascii="Arial" w:eastAsia="Arial" w:hAnsi="Arial" w:cs="Arial"/>
          <w:color w:val="161616"/>
        </w:rPr>
        <w:t xml:space="preserve">The University of Illinois Urbana-Champaign </w:t>
      </w:r>
      <w:r w:rsidRPr="5F60AB8B">
        <w:rPr>
          <w:rFonts w:ascii="Arial" w:eastAsia="Arial" w:hAnsi="Arial" w:cs="Arial"/>
          <w:i/>
          <w:iCs/>
          <w:color w:val="161616"/>
        </w:rPr>
        <w:t xml:space="preserve">Student Code </w:t>
      </w:r>
      <w:r w:rsidRPr="5F60AB8B">
        <w:rPr>
          <w:rFonts w:ascii="Arial" w:eastAsia="Arial" w:hAnsi="Arial" w:cs="Arial"/>
          <w:color w:val="161616"/>
        </w:rPr>
        <w:t xml:space="preserve">should also be considered as a part of this syllabus. Students should pay particular attention to Article 1, Part 4: Academic Integrity. Read the Code at the following URL: </w:t>
      </w:r>
      <w:hyperlink r:id="rId19">
        <w:r w:rsidRPr="5F60AB8B">
          <w:rPr>
            <w:rStyle w:val="Hyperlink"/>
            <w:rFonts w:ascii="Arial" w:eastAsia="Arial" w:hAnsi="Arial" w:cs="Arial"/>
            <w:color w:val="0000FF"/>
          </w:rPr>
          <w:t>http://studentcode.illinois.edu/</w:t>
        </w:r>
      </w:hyperlink>
      <w:r w:rsidRPr="5F60AB8B">
        <w:rPr>
          <w:rFonts w:ascii="Arial" w:eastAsia="Arial" w:hAnsi="Arial" w:cs="Arial"/>
          <w:color w:val="000000" w:themeColor="text1"/>
        </w:rPr>
        <w:t>.</w:t>
      </w:r>
    </w:p>
    <w:p w14:paraId="132CC7A2" w14:textId="4044E9F8" w:rsidR="345D016B" w:rsidRDefault="345D016B" w:rsidP="5F60AB8B">
      <w:pPr>
        <w:widowControl w:val="0"/>
        <w:spacing w:after="0"/>
        <w:ind w:right="173"/>
        <w:rPr>
          <w:rFonts w:eastAsia="Arial" w:cs="Arial"/>
          <w:color w:val="000000" w:themeColor="text1"/>
        </w:rPr>
      </w:pPr>
    </w:p>
    <w:p w14:paraId="2A66C7AC" w14:textId="53686D65" w:rsidR="345D016B" w:rsidRDefault="5F60AB8B" w:rsidP="5F60AB8B">
      <w:pPr>
        <w:pStyle w:val="BodyText"/>
        <w:ind w:right="173"/>
        <w:rPr>
          <w:rFonts w:ascii="Arial" w:eastAsia="Arial" w:hAnsi="Arial" w:cs="Arial"/>
          <w:color w:val="161616"/>
        </w:rPr>
      </w:pPr>
      <w:r w:rsidRPr="5F60AB8B">
        <w:rPr>
          <w:rFonts w:ascii="Arial" w:eastAsia="Arial" w:hAnsi="Arial" w:cs="Arial"/>
          <w:color w:val="161616"/>
        </w:rPr>
        <w:t>Academic dishonesty may result in a failing grade. Every student is expected to review and abide by the Academic Integrity Policy:</w:t>
      </w:r>
      <w:r w:rsidRPr="5F60AB8B">
        <w:rPr>
          <w:rFonts w:ascii="Arial" w:eastAsia="Arial" w:hAnsi="Arial" w:cs="Arial"/>
          <w:color w:val="000000" w:themeColor="text1"/>
        </w:rPr>
        <w:t xml:space="preserve"> </w:t>
      </w:r>
      <w:hyperlink r:id="rId20">
        <w:r w:rsidRPr="5F60AB8B">
          <w:rPr>
            <w:rStyle w:val="Hyperlink"/>
            <w:rFonts w:ascii="Arial" w:eastAsia="Arial" w:hAnsi="Arial" w:cs="Arial"/>
          </w:rPr>
          <w:t>https://studentcode.illinois.edu/article1/part4/1-401/</w:t>
        </w:r>
      </w:hyperlink>
      <w:r w:rsidRPr="5F60AB8B">
        <w:rPr>
          <w:rFonts w:ascii="Arial" w:eastAsia="Arial" w:hAnsi="Arial" w:cs="Arial"/>
          <w:color w:val="161616"/>
        </w:rPr>
        <w:t xml:space="preserve"> </w:t>
      </w:r>
      <w:r w:rsidRPr="5F60AB8B">
        <w:rPr>
          <w:rFonts w:ascii="Arial" w:eastAsia="Arial" w:hAnsi="Arial" w:cs="Arial"/>
          <w:color w:val="000000" w:themeColor="text1"/>
        </w:rPr>
        <w:t xml:space="preserve">. </w:t>
      </w:r>
      <w:r w:rsidRPr="5F60AB8B">
        <w:rPr>
          <w:rFonts w:ascii="Arial" w:eastAsia="Arial" w:hAnsi="Arial" w:cs="Arial"/>
          <w:color w:val="161616"/>
        </w:rPr>
        <w:t xml:space="preserve">Ignorance is not an excuse for any academic dishonesty. It is your responsibility to read this policy to avoid any </w:t>
      </w:r>
      <w:r w:rsidRPr="5F60AB8B">
        <w:rPr>
          <w:rFonts w:ascii="Arial" w:eastAsia="Arial" w:hAnsi="Arial" w:cs="Arial"/>
          <w:color w:val="161616"/>
        </w:rPr>
        <w:lastRenderedPageBreak/>
        <w:t xml:space="preserve">misunderstanding. </w:t>
      </w:r>
      <w:r w:rsidRPr="00215A85">
        <w:rPr>
          <w:rFonts w:ascii="Arial" w:eastAsia="Arial" w:hAnsi="Arial" w:cs="Arial"/>
          <w:b/>
          <w:bCs/>
          <w:color w:val="161616"/>
        </w:rPr>
        <w:t>Do not hesitate to ask the instructor(s) if you are ever in doubt about what constitutes plagiarism, cheating, or any other breach of academic integrity</w:t>
      </w:r>
      <w:r w:rsidRPr="5F60AB8B">
        <w:rPr>
          <w:rFonts w:ascii="Arial" w:eastAsia="Arial" w:hAnsi="Arial" w:cs="Arial"/>
          <w:color w:val="161616"/>
        </w:rPr>
        <w:t>.</w:t>
      </w:r>
    </w:p>
    <w:p w14:paraId="1C784927" w14:textId="77777777" w:rsidR="00215A85" w:rsidRDefault="00215A85" w:rsidP="5F60AB8B">
      <w:pPr>
        <w:pStyle w:val="BodyText"/>
        <w:ind w:right="173"/>
        <w:rPr>
          <w:rFonts w:ascii="Arial" w:eastAsia="Arial" w:hAnsi="Arial" w:cs="Arial"/>
          <w:color w:val="161616"/>
        </w:rPr>
      </w:pPr>
    </w:p>
    <w:p w14:paraId="769424C9" w14:textId="77777777" w:rsidR="008F149A" w:rsidRDefault="00215A85" w:rsidP="5F60AB8B">
      <w:pPr>
        <w:pStyle w:val="BodyText"/>
        <w:ind w:right="173"/>
        <w:rPr>
          <w:rFonts w:ascii="Arial" w:eastAsia="Arial" w:hAnsi="Arial" w:cs="Arial"/>
          <w:color w:val="161616"/>
        </w:rPr>
      </w:pPr>
      <w:r>
        <w:rPr>
          <w:rFonts w:ascii="Arial" w:eastAsia="Arial" w:hAnsi="Arial" w:cs="Arial"/>
          <w:color w:val="161616"/>
        </w:rPr>
        <w:t xml:space="preserve">Copying work and presenting it as your own, especially without citation, is plagiarism and grounds for receiving 0 points on a given assignment or project. </w:t>
      </w:r>
    </w:p>
    <w:p w14:paraId="6A362213" w14:textId="77777777" w:rsidR="008F149A" w:rsidRDefault="008F149A" w:rsidP="008F149A"/>
    <w:p w14:paraId="39C62C96" w14:textId="6C749C02" w:rsidR="008F149A" w:rsidRPr="000B56FE" w:rsidRDefault="008F149A" w:rsidP="008F149A">
      <w:pPr>
        <w:pStyle w:val="Heading2"/>
      </w:pPr>
      <w:r>
        <w:t>Use of Artificial Intelligence</w:t>
      </w:r>
    </w:p>
    <w:p w14:paraId="5421B5D9" w14:textId="2C663421" w:rsidR="00215A85" w:rsidRDefault="00215A85" w:rsidP="5F60AB8B">
      <w:pPr>
        <w:pStyle w:val="BodyText"/>
        <w:ind w:right="173"/>
        <w:rPr>
          <w:rFonts w:ascii="Arial" w:eastAsia="Arial" w:hAnsi="Arial" w:cs="Arial"/>
          <w:color w:val="161616"/>
        </w:rPr>
      </w:pPr>
      <w:r>
        <w:rPr>
          <w:rFonts w:ascii="Arial" w:eastAsia="Arial" w:hAnsi="Arial" w:cs="Arial"/>
          <w:color w:val="161616"/>
        </w:rPr>
        <w:t xml:space="preserve">The use of AI to write is not allowed, but </w:t>
      </w:r>
      <w:r w:rsidR="008F149A">
        <w:rPr>
          <w:rFonts w:ascii="Arial" w:eastAsia="Arial" w:hAnsi="Arial" w:cs="Arial"/>
          <w:color w:val="161616"/>
        </w:rPr>
        <w:t>AI</w:t>
      </w:r>
      <w:r>
        <w:rPr>
          <w:rFonts w:ascii="Arial" w:eastAsia="Arial" w:hAnsi="Arial" w:cs="Arial"/>
          <w:color w:val="161616"/>
        </w:rPr>
        <w:t xml:space="preserve"> may be used by students to help with </w:t>
      </w:r>
      <w:r w:rsidR="008F149A">
        <w:rPr>
          <w:rFonts w:ascii="Arial" w:eastAsia="Arial" w:hAnsi="Arial" w:cs="Arial"/>
          <w:color w:val="161616"/>
        </w:rPr>
        <w:t xml:space="preserve">their </w:t>
      </w:r>
      <w:r>
        <w:rPr>
          <w:rFonts w:ascii="Arial" w:eastAsia="Arial" w:hAnsi="Arial" w:cs="Arial"/>
          <w:color w:val="161616"/>
        </w:rPr>
        <w:t>research and to find sources. All AI use should be documented and reporte</w:t>
      </w:r>
      <w:r w:rsidR="008F149A">
        <w:rPr>
          <w:rFonts w:ascii="Arial" w:eastAsia="Arial" w:hAnsi="Arial" w:cs="Arial"/>
          <w:color w:val="161616"/>
        </w:rPr>
        <w:t>d alongside the assignment it was used on</w:t>
      </w:r>
      <w:r>
        <w:rPr>
          <w:rFonts w:ascii="Arial" w:eastAsia="Arial" w:hAnsi="Arial" w:cs="Arial"/>
          <w:color w:val="161616"/>
        </w:rPr>
        <w:t xml:space="preserve">. Chat GPT and other AI resources can hallucinate facts and references that do not actually exist. Factual errors due to AI use </w:t>
      </w:r>
      <w:r w:rsidR="00972E29">
        <w:rPr>
          <w:rFonts w:ascii="Arial" w:eastAsia="Arial" w:hAnsi="Arial" w:cs="Arial"/>
          <w:color w:val="161616"/>
        </w:rPr>
        <w:t xml:space="preserve">may </w:t>
      </w:r>
      <w:r>
        <w:rPr>
          <w:rFonts w:ascii="Arial" w:eastAsia="Arial" w:hAnsi="Arial" w:cs="Arial"/>
          <w:color w:val="161616"/>
        </w:rPr>
        <w:t>be graded more harshly.</w:t>
      </w:r>
    </w:p>
    <w:p w14:paraId="2873E238" w14:textId="42959E02" w:rsidR="345D016B" w:rsidRDefault="345D016B"/>
    <w:p w14:paraId="7443917B" w14:textId="77777777" w:rsidR="00C358B1" w:rsidRPr="000B56FE" w:rsidRDefault="00C358B1" w:rsidP="003149AA">
      <w:pPr>
        <w:pStyle w:val="Heading2"/>
      </w:pPr>
      <w:r w:rsidRPr="000B56FE">
        <w:t>Students</w:t>
      </w:r>
      <w:r w:rsidRPr="000B56FE">
        <w:rPr>
          <w:spacing w:val="-3"/>
        </w:rPr>
        <w:t xml:space="preserve"> </w:t>
      </w:r>
      <w:r w:rsidRPr="000B56FE">
        <w:t>with</w:t>
      </w:r>
      <w:r w:rsidRPr="000B56FE">
        <w:rPr>
          <w:spacing w:val="-2"/>
        </w:rPr>
        <w:t xml:space="preserve"> Disabilities</w:t>
      </w:r>
    </w:p>
    <w:p w14:paraId="369853A7" w14:textId="77777777" w:rsidR="00010282" w:rsidRPr="00010282" w:rsidRDefault="00010282" w:rsidP="00010282">
      <w:pPr>
        <w:rPr>
          <w:rFonts w:eastAsia="Arial" w:cs="Arial"/>
          <w:color w:val="141414"/>
        </w:rPr>
      </w:pPr>
      <w:r w:rsidRPr="00010282">
        <w:rPr>
          <w:rFonts w:eastAsia="Arial" w:cs="Arial"/>
          <w:color w:val="141414"/>
        </w:rPr>
        <w:t>The University of Illinois Champaign-Urbana, is committed to ensuring that all students, including students with disabilities, do not experience barriers to learning and participating fully in class. Students who have a letter of accommodation from DRES are advised to share that with instructors as soon as possible to ensure accommodation needs can be discussed and met.</w:t>
      </w:r>
    </w:p>
    <w:p w14:paraId="0CCDF2C1" w14:textId="77777777" w:rsidR="00010282" w:rsidRPr="00010282" w:rsidRDefault="00010282" w:rsidP="00010282">
      <w:pPr>
        <w:rPr>
          <w:rFonts w:eastAsia="Arial" w:cs="Arial"/>
          <w:color w:val="141414"/>
        </w:rPr>
      </w:pPr>
      <w:r w:rsidRPr="00010282">
        <w:rPr>
          <w:rFonts w:eastAsia="Arial" w:cs="Arial"/>
          <w:color w:val="141414"/>
        </w:rPr>
        <w:t>To obtain disability-related academic accommodations, disabled students must contact Disability Resources and Educational Services (DRES) as soon as possible. To contact DRES, please visit 1207 S. Oak Street, Champaign, call 217.333.1970, email disability@illinois.edu, or visit the DRES website.</w:t>
      </w:r>
    </w:p>
    <w:p w14:paraId="31D326FB" w14:textId="4D86F315" w:rsidR="345D016B" w:rsidRDefault="345D016B" w:rsidP="345D016B"/>
    <w:p w14:paraId="6FB0F025" w14:textId="77777777" w:rsidR="00C358B1" w:rsidRPr="000B56FE" w:rsidRDefault="00C358B1" w:rsidP="003149AA">
      <w:pPr>
        <w:pStyle w:val="Heading2"/>
      </w:pPr>
      <w:r w:rsidRPr="000B56FE">
        <w:t>Family</w:t>
      </w:r>
      <w:r w:rsidRPr="000B56FE">
        <w:rPr>
          <w:spacing w:val="-4"/>
        </w:rPr>
        <w:t xml:space="preserve"> </w:t>
      </w:r>
      <w:r w:rsidRPr="000B56FE">
        <w:t>Educational</w:t>
      </w:r>
      <w:r w:rsidRPr="000B56FE">
        <w:rPr>
          <w:spacing w:val="-1"/>
        </w:rPr>
        <w:t xml:space="preserve"> </w:t>
      </w:r>
      <w:r w:rsidRPr="000B56FE">
        <w:t>Rights</w:t>
      </w:r>
      <w:r w:rsidRPr="000B56FE">
        <w:rPr>
          <w:spacing w:val="-2"/>
        </w:rPr>
        <w:t xml:space="preserve"> </w:t>
      </w:r>
      <w:r w:rsidRPr="000B56FE">
        <w:t>and</w:t>
      </w:r>
      <w:r w:rsidRPr="000B56FE">
        <w:rPr>
          <w:spacing w:val="-2"/>
        </w:rPr>
        <w:t xml:space="preserve"> </w:t>
      </w:r>
      <w:r w:rsidRPr="000B56FE">
        <w:t>Privacy</w:t>
      </w:r>
      <w:r w:rsidRPr="000B56FE">
        <w:rPr>
          <w:spacing w:val="-1"/>
        </w:rPr>
        <w:t xml:space="preserve"> </w:t>
      </w:r>
      <w:r w:rsidRPr="000B56FE">
        <w:t>Act</w:t>
      </w:r>
      <w:r w:rsidRPr="000B56FE">
        <w:rPr>
          <w:spacing w:val="-1"/>
        </w:rPr>
        <w:t xml:space="preserve"> </w:t>
      </w:r>
      <w:r w:rsidRPr="000B56FE">
        <w:rPr>
          <w:spacing w:val="-2"/>
        </w:rPr>
        <w:t>(FERPA)</w:t>
      </w:r>
    </w:p>
    <w:p w14:paraId="34169552" w14:textId="5B6425B3" w:rsidR="345D016B" w:rsidRDefault="5F60AB8B" w:rsidP="5F60AB8B">
      <w:pPr>
        <w:pStyle w:val="BodyText"/>
        <w:ind w:right="857"/>
        <w:rPr>
          <w:rFonts w:ascii="Arial" w:eastAsia="Arial" w:hAnsi="Arial" w:cs="Arial"/>
          <w:color w:val="161616"/>
        </w:rPr>
      </w:pPr>
      <w:r w:rsidRPr="5F60AB8B">
        <w:rPr>
          <w:rFonts w:ascii="Arial" w:eastAsia="Arial" w:hAnsi="Arial" w:cs="Arial"/>
          <w:color w:val="161616"/>
        </w:rPr>
        <w:t xml:space="preserve">See </w:t>
      </w:r>
      <w:hyperlink r:id="rId21">
        <w:r w:rsidRPr="5F60AB8B">
          <w:rPr>
            <w:rStyle w:val="Hyperlink"/>
            <w:rFonts w:ascii="Arial" w:eastAsia="Arial" w:hAnsi="Arial" w:cs="Arial"/>
          </w:rPr>
          <w:t>http://registrar.illinois.edu/ferpa</w:t>
        </w:r>
      </w:hyperlink>
      <w:r w:rsidRPr="5F60AB8B">
        <w:rPr>
          <w:rFonts w:ascii="Arial" w:eastAsia="Arial" w:hAnsi="Arial" w:cs="Arial"/>
          <w:color w:val="161616"/>
        </w:rPr>
        <w:t xml:space="preserve"> for more information on Family Educational Rights and Privacy Act (FERPA).</w:t>
      </w:r>
    </w:p>
    <w:p w14:paraId="58FE91DD" w14:textId="77777777" w:rsidR="00CE3355" w:rsidRDefault="00CE3355" w:rsidP="5F60AB8B">
      <w:pPr>
        <w:pStyle w:val="BodyText"/>
        <w:ind w:right="857"/>
        <w:rPr>
          <w:rFonts w:ascii="Arial" w:eastAsia="Arial" w:hAnsi="Arial" w:cs="Arial"/>
        </w:rPr>
      </w:pPr>
    </w:p>
    <w:p w14:paraId="256AFFC1" w14:textId="77777777" w:rsidR="00CE3355" w:rsidRDefault="00CE3355" w:rsidP="5F60AB8B">
      <w:pPr>
        <w:pStyle w:val="BodyText"/>
        <w:ind w:right="857"/>
        <w:rPr>
          <w:rFonts w:ascii="Arial" w:eastAsia="Arial" w:hAnsi="Arial" w:cs="Arial"/>
        </w:rPr>
      </w:pPr>
    </w:p>
    <w:p w14:paraId="4295BD5A" w14:textId="667CC3AD" w:rsidR="00C358B1" w:rsidRPr="000B56FE" w:rsidRDefault="00C358B1" w:rsidP="1DFC1574">
      <w:pPr>
        <w:pStyle w:val="Heading2"/>
        <w:widowControl w:val="0"/>
        <w:spacing w:after="0"/>
        <w:ind w:right="173"/>
        <w:rPr>
          <w:rFonts w:ascii="Times New Roman" w:eastAsia="Times New Roman" w:hAnsi="Times New Roman" w:cs="Times New Roman"/>
          <w:b w:val="0"/>
          <w:color w:val="000000" w:themeColor="text1"/>
          <w:sz w:val="24"/>
          <w:szCs w:val="24"/>
        </w:rPr>
      </w:pPr>
      <w:r w:rsidRPr="000B56FE">
        <w:lastRenderedPageBreak/>
        <w:t>Mental</w:t>
      </w:r>
      <w:r w:rsidRPr="000B56FE">
        <w:rPr>
          <w:spacing w:val="-3"/>
        </w:rPr>
        <w:t xml:space="preserve"> </w:t>
      </w:r>
      <w:r w:rsidRPr="000B56FE">
        <w:rPr>
          <w:spacing w:val="-2"/>
        </w:rPr>
        <w:t>Health</w:t>
      </w:r>
      <w:r w:rsidR="345D016B" w:rsidRPr="1DFC1574">
        <w:rPr>
          <w:rFonts w:ascii="Times New Roman" w:eastAsia="Times New Roman" w:hAnsi="Times New Roman" w:cs="Times New Roman"/>
          <w:b w:val="0"/>
          <w:color w:val="000000" w:themeColor="text1"/>
          <w:sz w:val="24"/>
          <w:szCs w:val="24"/>
        </w:rPr>
        <w:t xml:space="preserve"> </w:t>
      </w:r>
    </w:p>
    <w:p w14:paraId="23D7C6F4" w14:textId="53EB44BD" w:rsidR="00C358B1" w:rsidRPr="000B56FE" w:rsidRDefault="00C358B1" w:rsidP="345D016B">
      <w:pPr>
        <w:pStyle w:val="Heading2"/>
        <w:widowControl w:val="0"/>
        <w:spacing w:after="0"/>
        <w:ind w:left="115" w:right="173"/>
        <w:rPr>
          <w:rFonts w:ascii="Times New Roman" w:eastAsia="Times New Roman" w:hAnsi="Times New Roman" w:cs="Times New Roman"/>
          <w:b w:val="0"/>
          <w:color w:val="000000" w:themeColor="text1"/>
          <w:sz w:val="24"/>
          <w:szCs w:val="24"/>
        </w:rPr>
      </w:pPr>
    </w:p>
    <w:p w14:paraId="5ED2B00C" w14:textId="729667BC" w:rsidR="00C358B1" w:rsidRPr="000B56FE" w:rsidRDefault="5F60AB8B" w:rsidP="5F60AB8B">
      <w:pPr>
        <w:pStyle w:val="Heading2"/>
        <w:widowControl w:val="0"/>
        <w:spacing w:after="0"/>
        <w:ind w:right="173"/>
        <w:rPr>
          <w:rFonts w:eastAsia="Arial" w:cs="Arial"/>
          <w:b w:val="0"/>
          <w:color w:val="000000" w:themeColor="text1"/>
          <w:sz w:val="24"/>
          <w:szCs w:val="24"/>
        </w:rPr>
      </w:pPr>
      <w:r w:rsidRPr="5F60AB8B">
        <w:rPr>
          <w:rFonts w:eastAsia="Arial" w:cs="Arial"/>
          <w:b w:val="0"/>
          <w:color w:val="000000" w:themeColor="text1"/>
          <w:sz w:val="24"/>
          <w:szCs w:val="24"/>
        </w:rPr>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Health Service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2D50E58F" w14:textId="2B984565" w:rsidR="00C358B1" w:rsidRPr="000B56FE" w:rsidRDefault="00C358B1" w:rsidP="5F60AB8B">
      <w:pPr>
        <w:widowControl w:val="0"/>
        <w:spacing w:after="0"/>
        <w:ind w:right="173"/>
        <w:rPr>
          <w:rFonts w:eastAsia="Arial" w:cs="Arial"/>
          <w:color w:val="000000" w:themeColor="text1"/>
        </w:rPr>
      </w:pPr>
    </w:p>
    <w:p w14:paraId="15FF74B1" w14:textId="19E71CFD" w:rsidR="00C358B1" w:rsidRPr="000B56FE" w:rsidRDefault="5F60AB8B" w:rsidP="5F60AB8B">
      <w:pPr>
        <w:pStyle w:val="BodyText"/>
        <w:numPr>
          <w:ilvl w:val="0"/>
          <w:numId w:val="1"/>
        </w:numPr>
        <w:ind w:left="720" w:right="173"/>
        <w:rPr>
          <w:rFonts w:ascii="Arial" w:eastAsia="Arial" w:hAnsi="Arial" w:cs="Arial"/>
          <w:color w:val="000000" w:themeColor="text1"/>
        </w:rPr>
      </w:pPr>
      <w:r w:rsidRPr="5F60AB8B">
        <w:rPr>
          <w:rFonts w:ascii="Arial" w:eastAsia="Arial" w:hAnsi="Arial" w:cs="Arial"/>
          <w:color w:val="000000" w:themeColor="text1"/>
        </w:rPr>
        <w:t>Counseling Center (217) 333-3704</w:t>
      </w:r>
    </w:p>
    <w:p w14:paraId="3F964CB9" w14:textId="64B83A3C" w:rsidR="00C358B1" w:rsidRPr="000B56FE" w:rsidRDefault="5F60AB8B" w:rsidP="5F60AB8B">
      <w:pPr>
        <w:pStyle w:val="BodyText"/>
        <w:numPr>
          <w:ilvl w:val="0"/>
          <w:numId w:val="1"/>
        </w:numPr>
        <w:ind w:left="720" w:right="173"/>
        <w:rPr>
          <w:rFonts w:ascii="Arial" w:eastAsia="Arial" w:hAnsi="Arial" w:cs="Arial"/>
          <w:color w:val="000000" w:themeColor="text1"/>
        </w:rPr>
      </w:pPr>
      <w:r w:rsidRPr="5F60AB8B">
        <w:rPr>
          <w:rFonts w:ascii="Arial" w:eastAsia="Arial" w:hAnsi="Arial" w:cs="Arial"/>
          <w:color w:val="000000" w:themeColor="text1"/>
        </w:rPr>
        <w:t>McKinley Health Center (217) 333-2700</w:t>
      </w:r>
    </w:p>
    <w:p w14:paraId="2AA505CF" w14:textId="01C37356" w:rsidR="00C358B1" w:rsidRPr="000B56FE" w:rsidRDefault="5F60AB8B" w:rsidP="5F60AB8B">
      <w:pPr>
        <w:pStyle w:val="BodyText"/>
        <w:numPr>
          <w:ilvl w:val="0"/>
          <w:numId w:val="1"/>
        </w:numPr>
        <w:ind w:left="720" w:right="173"/>
        <w:rPr>
          <w:rFonts w:ascii="Arial" w:eastAsia="Arial" w:hAnsi="Arial" w:cs="Arial"/>
          <w:color w:val="000000" w:themeColor="text1"/>
        </w:rPr>
      </w:pPr>
      <w:r w:rsidRPr="5F60AB8B">
        <w:rPr>
          <w:rFonts w:ascii="Arial" w:eastAsia="Arial" w:hAnsi="Arial" w:cs="Arial"/>
          <w:color w:val="000000" w:themeColor="text1"/>
        </w:rPr>
        <w:t>National Suicide Prevention Lifeline (800) 273-8255</w:t>
      </w:r>
    </w:p>
    <w:p w14:paraId="7E3180D0" w14:textId="1C35DF70" w:rsidR="00C358B1" w:rsidRPr="000B56FE" w:rsidRDefault="5F60AB8B" w:rsidP="5F60AB8B">
      <w:pPr>
        <w:pStyle w:val="BodyText"/>
        <w:numPr>
          <w:ilvl w:val="0"/>
          <w:numId w:val="1"/>
        </w:numPr>
        <w:ind w:left="720" w:right="173"/>
        <w:rPr>
          <w:rFonts w:ascii="Arial" w:eastAsia="Arial" w:hAnsi="Arial" w:cs="Arial"/>
          <w:color w:val="000000" w:themeColor="text1"/>
        </w:rPr>
      </w:pPr>
      <w:r w:rsidRPr="5F60AB8B">
        <w:rPr>
          <w:rFonts w:ascii="Arial" w:eastAsia="Arial" w:hAnsi="Arial" w:cs="Arial"/>
          <w:color w:val="000000" w:themeColor="text1"/>
        </w:rPr>
        <w:t>Rosecrance Crisis Line (217) 359-4141 (available 24/7, 365 days a year)</w:t>
      </w:r>
    </w:p>
    <w:p w14:paraId="5DA403A0" w14:textId="184FB554" w:rsidR="00C358B1" w:rsidRPr="000B56FE" w:rsidRDefault="00C358B1" w:rsidP="5F60AB8B">
      <w:pPr>
        <w:widowControl w:val="0"/>
        <w:spacing w:after="0"/>
        <w:ind w:right="173"/>
        <w:rPr>
          <w:rFonts w:eastAsia="Arial" w:cs="Arial"/>
          <w:color w:val="000000" w:themeColor="text1"/>
        </w:rPr>
      </w:pPr>
    </w:p>
    <w:p w14:paraId="7DFE6277" w14:textId="45509745" w:rsidR="00C358B1" w:rsidRPr="000B56FE" w:rsidRDefault="5F60AB8B" w:rsidP="5F60AB8B">
      <w:pPr>
        <w:pStyle w:val="BodyText"/>
        <w:ind w:right="173"/>
        <w:rPr>
          <w:rFonts w:ascii="Arial" w:eastAsia="Arial" w:hAnsi="Arial" w:cs="Arial"/>
          <w:color w:val="000000" w:themeColor="text1"/>
        </w:rPr>
      </w:pPr>
      <w:r w:rsidRPr="5F60AB8B">
        <w:rPr>
          <w:rFonts w:ascii="Arial" w:eastAsia="Arial" w:hAnsi="Arial" w:cs="Arial"/>
          <w:color w:val="000000" w:themeColor="text1"/>
        </w:rPr>
        <w:t>If you are in immediate danger, call 911. </w:t>
      </w:r>
    </w:p>
    <w:p w14:paraId="2B3A4783" w14:textId="19206EAE" w:rsidR="00C358B1" w:rsidRPr="000B56FE" w:rsidRDefault="00C358B1" w:rsidP="5F60AB8B">
      <w:pPr>
        <w:widowControl w:val="0"/>
        <w:spacing w:after="0"/>
        <w:ind w:right="173"/>
        <w:rPr>
          <w:rFonts w:eastAsia="Arial" w:cs="Arial"/>
          <w:color w:val="000000" w:themeColor="text1"/>
        </w:rPr>
      </w:pPr>
    </w:p>
    <w:p w14:paraId="2D2D1D6E" w14:textId="07D9377C" w:rsidR="00C358B1" w:rsidRPr="000B56FE" w:rsidRDefault="5F60AB8B" w:rsidP="5F60AB8B">
      <w:pPr>
        <w:pStyle w:val="BodyText"/>
        <w:ind w:right="173"/>
        <w:rPr>
          <w:rFonts w:ascii="Arial" w:eastAsia="Arial" w:hAnsi="Arial" w:cs="Arial"/>
          <w:color w:val="000000" w:themeColor="text1"/>
        </w:rPr>
      </w:pPr>
      <w:r w:rsidRPr="5F60AB8B">
        <w:rPr>
          <w:rFonts w:ascii="Arial" w:eastAsia="Arial" w:hAnsi="Arial" w:cs="Arial"/>
          <w:color w:val="000000" w:themeColor="text1"/>
        </w:rPr>
        <w:t>*This statement is approved by the University of Illinois Counseling Center</w:t>
      </w:r>
    </w:p>
    <w:p w14:paraId="4D33F1CA" w14:textId="77777777" w:rsidR="00CE3355" w:rsidRDefault="00CE3355" w:rsidP="003149AA">
      <w:pPr>
        <w:pStyle w:val="Heading2"/>
      </w:pPr>
    </w:p>
    <w:p w14:paraId="252CFF52" w14:textId="392EA31A" w:rsidR="00C358B1" w:rsidRPr="000B56FE" w:rsidRDefault="00C358B1" w:rsidP="003149AA">
      <w:pPr>
        <w:pStyle w:val="Heading2"/>
      </w:pPr>
      <w:r w:rsidRPr="000B56FE">
        <w:t>Community</w:t>
      </w:r>
      <w:r w:rsidRPr="000B56FE">
        <w:rPr>
          <w:spacing w:val="-4"/>
        </w:rPr>
        <w:t xml:space="preserve"> </w:t>
      </w:r>
      <w:r w:rsidRPr="000B56FE">
        <w:t>of</w:t>
      </w:r>
      <w:r w:rsidRPr="000B56FE">
        <w:rPr>
          <w:spacing w:val="1"/>
        </w:rPr>
        <w:t xml:space="preserve"> </w:t>
      </w:r>
      <w:r w:rsidRPr="000B56FE">
        <w:rPr>
          <w:spacing w:val="-4"/>
        </w:rPr>
        <w:t>Care</w:t>
      </w:r>
    </w:p>
    <w:p w14:paraId="68A2E536" w14:textId="57DDB733" w:rsidR="345D016B" w:rsidRDefault="25AE1D8F" w:rsidP="25AE1D8F">
      <w:pPr>
        <w:spacing w:after="0"/>
        <w:ind w:right="173"/>
        <w:rPr>
          <w:rFonts w:eastAsia="Arial" w:cs="Arial"/>
          <w:color w:val="000000" w:themeColor="text1"/>
        </w:rPr>
      </w:pPr>
      <w:r w:rsidRPr="25AE1D8F">
        <w:rPr>
          <w:rFonts w:eastAsia="Arial" w:cs="Arial"/>
          <w:color w:val="161616"/>
          <w:u w:val="single"/>
        </w:rPr>
        <w:t>Reminders for Faculty</w:t>
      </w:r>
      <w:r w:rsidRPr="25AE1D8F">
        <w:rPr>
          <w:rFonts w:eastAsia="Arial" w:cs="Arial"/>
          <w:color w:val="161616"/>
        </w:rPr>
        <w:t xml:space="preserve">: Should a student disclose information that causes concern for their well-being, or should a student exhibit concerning behaviors in the classroom, we encourage you to refer this behavior to the Connie Frank CARE Center (formerly the Student Assistance Center) in the Office of the Dean of Students.  You may do so by calling 217-333-0050 or by submitting an </w:t>
      </w:r>
      <w:hyperlink r:id="rId22">
        <w:r w:rsidRPr="25AE1D8F">
          <w:rPr>
            <w:rStyle w:val="Hyperlink"/>
            <w:rFonts w:eastAsia="Arial" w:cs="Arial"/>
          </w:rPr>
          <w:t>online referral</w:t>
        </w:r>
      </w:hyperlink>
      <w:r w:rsidRPr="25AE1D8F">
        <w:rPr>
          <w:rFonts w:eastAsia="Arial" w:cs="Arial"/>
          <w:color w:val="161616"/>
        </w:rPr>
        <w:t xml:space="preserve">.   Based on your report, staff in the </w:t>
      </w:r>
      <w:r w:rsidRPr="25AE1D8F">
        <w:rPr>
          <w:rFonts w:eastAsia="Arial" w:cs="Arial"/>
          <w:color w:val="000000" w:themeColor="text1"/>
        </w:rPr>
        <w:t xml:space="preserve">Connie Frank CARE Center </w:t>
      </w:r>
      <w:r w:rsidRPr="25AE1D8F">
        <w:rPr>
          <w:rFonts w:eastAsia="Arial" w:cs="Arial"/>
          <w:color w:val="161616"/>
        </w:rPr>
        <w:t>will reach out to offer support and assistance.</w:t>
      </w:r>
      <w:r w:rsidRPr="25AE1D8F">
        <w:rPr>
          <w:rFonts w:eastAsia="Arial" w:cs="Arial"/>
          <w:color w:val="000000" w:themeColor="text1"/>
        </w:rPr>
        <w:t>  However, should you have concerns about the imminent health and safety of a student, please call 911 to request the assistance of first responders.</w:t>
      </w:r>
    </w:p>
    <w:p w14:paraId="764EA53D" w14:textId="0CE1B7E2" w:rsidR="345D016B" w:rsidRDefault="345D016B" w:rsidP="5F60AB8B">
      <w:pPr>
        <w:spacing w:after="0"/>
        <w:ind w:right="173"/>
        <w:rPr>
          <w:rFonts w:eastAsia="Arial" w:cs="Arial"/>
          <w:color w:val="161616"/>
        </w:rPr>
      </w:pPr>
    </w:p>
    <w:p w14:paraId="12C4811B" w14:textId="7BFAA56F" w:rsidR="345D016B" w:rsidRDefault="25AE1D8F" w:rsidP="25AE1D8F">
      <w:pPr>
        <w:spacing w:after="0"/>
        <w:ind w:right="173"/>
        <w:rPr>
          <w:rFonts w:eastAsia="Arial" w:cs="Arial"/>
          <w:color w:val="161616"/>
        </w:rPr>
      </w:pPr>
      <w:r w:rsidRPr="25AE1D8F">
        <w:rPr>
          <w:rFonts w:eastAsia="Arial" w:cs="Arial"/>
          <w:color w:val="161616"/>
          <w:u w:val="single"/>
        </w:rPr>
        <w:t>Syllabus Language</w:t>
      </w:r>
      <w:r w:rsidRPr="25AE1D8F">
        <w:rPr>
          <w:rFonts w:eastAsia="Arial" w:cs="Arial"/>
          <w:color w:val="161616"/>
        </w:rPr>
        <w:t xml:space="preserve">: As members of the Illinois community, we each have a responsibility to express care and concern for one another. If you come across a classmate whose behavior concerns you, whether in regard to their well-being or yours, we encourage you to refer this behavior to the Connie Frank CARE Center (formerly the Student Assistance Center) in the Office of the Dean of Students.  You may do so by calling 217-333-0050 or by submitting an </w:t>
      </w:r>
      <w:hyperlink r:id="rId23">
        <w:r w:rsidRPr="25AE1D8F">
          <w:rPr>
            <w:rStyle w:val="Hyperlink"/>
            <w:rFonts w:eastAsia="Arial" w:cs="Arial"/>
          </w:rPr>
          <w:t>online referral</w:t>
        </w:r>
      </w:hyperlink>
      <w:r w:rsidRPr="25AE1D8F">
        <w:rPr>
          <w:rFonts w:eastAsia="Arial" w:cs="Arial"/>
          <w:color w:val="161616"/>
        </w:rPr>
        <w:t xml:space="preserve">.  Based on your report, staff in the </w:t>
      </w:r>
      <w:r w:rsidRPr="25AE1D8F">
        <w:rPr>
          <w:rFonts w:eastAsia="Arial" w:cs="Arial"/>
          <w:color w:val="000000" w:themeColor="text1"/>
        </w:rPr>
        <w:t xml:space="preserve">Connie Frank CARE Center </w:t>
      </w:r>
      <w:r w:rsidRPr="25AE1D8F">
        <w:rPr>
          <w:rFonts w:eastAsia="Arial" w:cs="Arial"/>
          <w:color w:val="161616"/>
        </w:rPr>
        <w:t xml:space="preserve">will reach out to offer support and assistance.  </w:t>
      </w:r>
    </w:p>
    <w:p w14:paraId="5304AC54" w14:textId="1DC7EE6B" w:rsidR="345D016B" w:rsidRDefault="345D016B" w:rsidP="5F60AB8B">
      <w:pPr>
        <w:spacing w:after="0"/>
        <w:ind w:right="173"/>
        <w:rPr>
          <w:rFonts w:eastAsia="Arial" w:cs="Arial"/>
          <w:color w:val="161616"/>
        </w:rPr>
      </w:pPr>
    </w:p>
    <w:p w14:paraId="18AB9131" w14:textId="2EE6E085" w:rsidR="345D016B" w:rsidRDefault="25AE1D8F" w:rsidP="25AE1D8F">
      <w:pPr>
        <w:spacing w:after="0"/>
        <w:ind w:right="173"/>
        <w:rPr>
          <w:rFonts w:eastAsia="Arial" w:cs="Arial"/>
          <w:color w:val="161616"/>
        </w:rPr>
      </w:pPr>
      <w:r w:rsidRPr="25AE1D8F">
        <w:rPr>
          <w:rFonts w:eastAsia="Arial" w:cs="Arial"/>
          <w:color w:val="161616"/>
        </w:rPr>
        <w:t xml:space="preserve">Further, as a Community of Care, we want to support you in your overall wellness. We know that students sometimes face challenges that can impact academic performance (examples include mental health concerns, food insecurity, homelessness, personal emergencies). Should you find that you are managing such a challenge and that it is </w:t>
      </w:r>
      <w:r w:rsidRPr="25AE1D8F">
        <w:rPr>
          <w:rFonts w:eastAsia="Arial" w:cs="Arial"/>
          <w:color w:val="161616"/>
        </w:rPr>
        <w:lastRenderedPageBreak/>
        <w:t xml:space="preserve">interfering with your coursework, you are encouraged to contact the </w:t>
      </w:r>
      <w:hyperlink r:id="rId24">
        <w:r w:rsidRPr="25AE1D8F">
          <w:rPr>
            <w:rStyle w:val="Hyperlink"/>
            <w:rFonts w:eastAsia="Arial" w:cs="Arial"/>
          </w:rPr>
          <w:t>Connie Frank CARE Center</w:t>
        </w:r>
      </w:hyperlink>
      <w:r w:rsidRPr="25AE1D8F">
        <w:rPr>
          <w:rFonts w:eastAsia="Arial" w:cs="Arial"/>
          <w:color w:val="161616"/>
        </w:rPr>
        <w:t xml:space="preserve"> (formerly the Student Assistance Center) in the Office of the Dean of Students for support and referrals to campus and/or community resources.</w:t>
      </w:r>
    </w:p>
    <w:p w14:paraId="63782F84" w14:textId="21A1ECC8" w:rsidR="345D016B" w:rsidRDefault="345D016B"/>
    <w:p w14:paraId="091AB84C" w14:textId="77777777" w:rsidR="00C358B1" w:rsidRPr="000B56FE" w:rsidRDefault="00C358B1" w:rsidP="003149AA">
      <w:pPr>
        <w:pStyle w:val="Heading2"/>
      </w:pPr>
      <w:r w:rsidRPr="000B56FE">
        <w:t>Disruptive</w:t>
      </w:r>
      <w:r w:rsidRPr="000B56FE">
        <w:rPr>
          <w:spacing w:val="-4"/>
        </w:rPr>
        <w:t xml:space="preserve"> </w:t>
      </w:r>
      <w:r w:rsidRPr="000B56FE">
        <w:rPr>
          <w:spacing w:val="-2"/>
        </w:rPr>
        <w:t>Behavior</w:t>
      </w:r>
    </w:p>
    <w:p w14:paraId="644DBEFE" w14:textId="3520C08C" w:rsidR="345D016B" w:rsidRDefault="345D016B" w:rsidP="345D016B">
      <w:pPr>
        <w:spacing w:after="0"/>
        <w:rPr>
          <w:rFonts w:eastAsia="Arial" w:cs="Arial"/>
        </w:rPr>
      </w:pPr>
      <w:r w:rsidRPr="345D016B">
        <w:rPr>
          <w:rFonts w:eastAsia="Arial" w:cs="Arial"/>
          <w:color w:val="141414"/>
        </w:rPr>
        <w:t>Behavior that persistently or grossly interferes with classroom activities is considered disruptive behavior and may be subject to disciplinary action. Such behavior inhibits other students’ ability to learn and an instructor’s ability to teach. A student responsible for disruptive behavior may be required to leave class pending discussion and resolution of the problem and may be reported to the Office for Student Conflict Resolution (</w:t>
      </w:r>
      <w:hyperlink r:id="rId25">
        <w:r w:rsidRPr="345D016B">
          <w:rPr>
            <w:rStyle w:val="Hyperlink"/>
            <w:rFonts w:eastAsia="Arial" w:cs="Arial"/>
          </w:rPr>
          <w:t>https://go.illinois.edu/ReportMisconduct</w:t>
        </w:r>
      </w:hyperlink>
      <w:r w:rsidRPr="345D016B">
        <w:rPr>
          <w:rFonts w:eastAsia="Arial" w:cs="Arial"/>
          <w:color w:val="000000" w:themeColor="text1"/>
        </w:rPr>
        <w:t xml:space="preserve">; </w:t>
      </w:r>
      <w:r w:rsidRPr="345D016B">
        <w:rPr>
          <w:rFonts w:eastAsia="Arial" w:cs="Arial"/>
          <w:color w:val="141414"/>
        </w:rPr>
        <w:t xml:space="preserve"> </w:t>
      </w:r>
      <w:r w:rsidRPr="345D016B">
        <w:rPr>
          <w:rFonts w:eastAsia="Arial" w:cs="Arial"/>
          <w:color w:val="0000FF"/>
        </w:rPr>
        <w:t>conflictresolution@illinois.edu</w:t>
      </w:r>
      <w:r w:rsidRPr="345D016B">
        <w:rPr>
          <w:rFonts w:eastAsia="Arial" w:cs="Arial"/>
          <w:color w:val="141414"/>
        </w:rPr>
        <w:t xml:space="preserve">; 333-3680) for disciplinary action. </w:t>
      </w:r>
      <w:r w:rsidRPr="345D016B">
        <w:rPr>
          <w:rFonts w:eastAsia="Arial" w:cs="Arial"/>
        </w:rPr>
        <w:t xml:space="preserve"> </w:t>
      </w:r>
    </w:p>
    <w:p w14:paraId="09B35FD8" w14:textId="25A49594" w:rsidR="345D016B" w:rsidRDefault="345D016B" w:rsidP="345D016B"/>
    <w:p w14:paraId="22317661" w14:textId="77777777" w:rsidR="00C358B1" w:rsidRPr="000B56FE" w:rsidRDefault="00C358B1" w:rsidP="003149AA">
      <w:pPr>
        <w:pStyle w:val="Heading2"/>
      </w:pPr>
      <w:r w:rsidRPr="000B56FE">
        <w:t>Emergency</w:t>
      </w:r>
      <w:r w:rsidRPr="000B56FE">
        <w:rPr>
          <w:spacing w:val="-5"/>
        </w:rPr>
        <w:t xml:space="preserve"> </w:t>
      </w:r>
      <w:r w:rsidRPr="000B56FE">
        <w:t>Response</w:t>
      </w:r>
      <w:r w:rsidRPr="000B56FE">
        <w:rPr>
          <w:spacing w:val="-4"/>
        </w:rPr>
        <w:t xml:space="preserve"> </w:t>
      </w:r>
      <w:r w:rsidRPr="000B56FE">
        <w:rPr>
          <w:spacing w:val="-2"/>
        </w:rPr>
        <w:t>Recommendations</w:t>
      </w:r>
    </w:p>
    <w:p w14:paraId="488F5B75" w14:textId="7B566B1D" w:rsidR="345D016B" w:rsidRDefault="345D016B" w:rsidP="345D016B">
      <w:pPr>
        <w:spacing w:after="0"/>
        <w:rPr>
          <w:rFonts w:eastAsia="Arial" w:cs="Arial"/>
        </w:rPr>
      </w:pPr>
      <w:r w:rsidRPr="345D016B">
        <w:rPr>
          <w:rFonts w:eastAsia="Arial" w:cs="Arial"/>
          <w:color w:val="141414"/>
        </w:rPr>
        <w:t xml:space="preserve">Emergency response recommendations and campus building floor plans can be found at the following website: </w:t>
      </w:r>
      <w:hyperlink r:id="rId26">
        <w:r w:rsidRPr="345D016B">
          <w:rPr>
            <w:rStyle w:val="Hyperlink"/>
            <w:rFonts w:eastAsia="Arial" w:cs="Arial"/>
          </w:rPr>
          <w:t>https://police.illinois.edu/em/run-hide-fight/</w:t>
        </w:r>
      </w:hyperlink>
      <w:r w:rsidRPr="345D016B">
        <w:rPr>
          <w:rFonts w:eastAsia="Arial" w:cs="Arial"/>
          <w:color w:val="000000" w:themeColor="text1"/>
        </w:rPr>
        <w:t xml:space="preserve">. </w:t>
      </w:r>
      <w:r w:rsidRPr="345D016B">
        <w:rPr>
          <w:rFonts w:eastAsia="Arial" w:cs="Arial"/>
          <w:color w:val="141414"/>
        </w:rPr>
        <w:t>I encourage you to review this website within the first 10 days of class</w:t>
      </w:r>
      <w:r w:rsidRPr="345D016B">
        <w:rPr>
          <w:rFonts w:eastAsia="Arial" w:cs="Arial"/>
          <w:color w:val="000000" w:themeColor="text1"/>
        </w:rPr>
        <w:t xml:space="preserve">. </w:t>
      </w:r>
      <w:r w:rsidRPr="345D016B">
        <w:rPr>
          <w:rFonts w:eastAsia="Arial" w:cs="Arial"/>
        </w:rPr>
        <w:t xml:space="preserve"> </w:t>
      </w:r>
    </w:p>
    <w:p w14:paraId="00A7B0B4" w14:textId="749339C3" w:rsidR="345D016B" w:rsidRDefault="345D016B"/>
    <w:p w14:paraId="6357D4B1" w14:textId="77777777" w:rsidR="00C358B1" w:rsidRPr="000B56FE" w:rsidRDefault="00C358B1" w:rsidP="003149AA">
      <w:pPr>
        <w:pStyle w:val="Heading2"/>
      </w:pPr>
      <w:r w:rsidRPr="000B56FE">
        <w:t>Religious</w:t>
      </w:r>
      <w:r w:rsidRPr="000B56FE">
        <w:rPr>
          <w:spacing w:val="-3"/>
        </w:rPr>
        <w:t xml:space="preserve"> </w:t>
      </w:r>
      <w:r w:rsidRPr="000B56FE">
        <w:t>Observances</w:t>
      </w:r>
    </w:p>
    <w:p w14:paraId="16D0362F" w14:textId="69C3425B" w:rsidR="1DFC1574" w:rsidRDefault="1DFC1574" w:rsidP="1DFC1574">
      <w:pPr>
        <w:spacing w:after="0"/>
        <w:rPr>
          <w:rFonts w:eastAsia="Arial" w:cs="Arial"/>
        </w:rPr>
      </w:pPr>
      <w:r w:rsidRPr="1DFC1574">
        <w:rPr>
          <w:rFonts w:eastAsia="Arial" w:cs="Arial"/>
          <w:color w:val="000000" w:themeColor="text1"/>
        </w:rPr>
        <w:t xml:space="preserve">It is the policy of the University of Illinois Urbana-Champaign to reasonably accommodate its students’ religious beliefs, observances, and practices that conflict with a student’s class attendance or participation in a scheduled examination or work requirement, consistent with state and federal law.  Students must make requests for accommodation in advance of the conflict to allow time for both consideration of the request and alternate procedures to be prepared.  Requests should be directed to the instructor.  The Office of the Dean of Students provides an optional resource on its </w:t>
      </w:r>
      <w:hyperlink r:id="rId27">
        <w:r w:rsidRPr="1DFC1574">
          <w:rPr>
            <w:rStyle w:val="Hyperlink"/>
            <w:rFonts w:eastAsia="Arial" w:cs="Arial"/>
            <w:color w:val="467886"/>
          </w:rPr>
          <w:t>website</w:t>
        </w:r>
      </w:hyperlink>
      <w:r w:rsidRPr="1DFC1574">
        <w:rPr>
          <w:rFonts w:eastAsia="Arial" w:cs="Arial"/>
          <w:color w:val="000000" w:themeColor="text1"/>
        </w:rPr>
        <w:t> to assist students in making such requests.</w:t>
      </w:r>
    </w:p>
    <w:p w14:paraId="191F9A59" w14:textId="1E1D9883" w:rsidR="1DFC1574" w:rsidRDefault="1DFC1574"/>
    <w:p w14:paraId="2FB513B9" w14:textId="77777777" w:rsidR="00C358B1" w:rsidRPr="000B56FE" w:rsidRDefault="00C358B1" w:rsidP="003149AA">
      <w:pPr>
        <w:pStyle w:val="Heading2"/>
      </w:pPr>
      <w:r w:rsidRPr="000B56FE">
        <w:t>Sexual</w:t>
      </w:r>
      <w:r w:rsidRPr="000B56FE">
        <w:rPr>
          <w:spacing w:val="-5"/>
        </w:rPr>
        <w:t xml:space="preserve"> </w:t>
      </w:r>
      <w:r w:rsidRPr="000B56FE">
        <w:t>Misconduct</w:t>
      </w:r>
      <w:r w:rsidRPr="000B56FE">
        <w:rPr>
          <w:spacing w:val="-2"/>
        </w:rPr>
        <w:t xml:space="preserve"> </w:t>
      </w:r>
      <w:r w:rsidRPr="000B56FE">
        <w:t>Reporting</w:t>
      </w:r>
      <w:r w:rsidRPr="000B56FE">
        <w:rPr>
          <w:spacing w:val="-2"/>
        </w:rPr>
        <w:t xml:space="preserve"> Obligation</w:t>
      </w:r>
    </w:p>
    <w:p w14:paraId="3C97F585" w14:textId="3A249B49" w:rsidR="1DFC1574" w:rsidRDefault="1DFC1574" w:rsidP="1DFC1574">
      <w:pPr>
        <w:spacing w:after="0"/>
        <w:rPr>
          <w:rFonts w:eastAsia="Arial" w:cs="Arial"/>
          <w:color w:val="000000" w:themeColor="text1"/>
        </w:rPr>
      </w:pPr>
      <w:r w:rsidRPr="1DFC1574">
        <w:rPr>
          <w:rFonts w:eastAsia="Arial" w:cs="Arial"/>
          <w:color w:val="000000" w:themeColor="text1"/>
        </w:rPr>
        <w:t xml:space="preserve">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supportive measures, resources, the campus disciplinary process, and law enforcement options. </w:t>
      </w:r>
    </w:p>
    <w:p w14:paraId="4D824600" w14:textId="19B7C188" w:rsidR="1DFC1574" w:rsidRDefault="1DFC1574" w:rsidP="1DFC1574">
      <w:pPr>
        <w:spacing w:after="0"/>
        <w:rPr>
          <w:rFonts w:eastAsia="Arial" w:cs="Arial"/>
          <w:color w:val="000000" w:themeColor="text1"/>
        </w:rPr>
      </w:pPr>
    </w:p>
    <w:p w14:paraId="1BCC1367" w14:textId="21BD2BA6" w:rsidR="1DFC1574" w:rsidRDefault="1DFC1574" w:rsidP="1DFC1574">
      <w:pPr>
        <w:spacing w:after="0"/>
        <w:rPr>
          <w:rFonts w:eastAsia="Arial" w:cs="Arial"/>
          <w:color w:val="000000" w:themeColor="text1"/>
        </w:rPr>
      </w:pPr>
      <w:r w:rsidRPr="1DFC1574">
        <w:rPr>
          <w:rFonts w:eastAsia="Arial" w:cs="Arial"/>
          <w:color w:val="000000" w:themeColor="text1"/>
        </w:rPr>
        <w:t xml:space="preserve">A list of the designated University employees who, as counselors, confidential advisors, and medical professionals, do not have this reporting responsibility and can maintain confidentiality, can be found here: </w:t>
      </w:r>
      <w:hyperlink r:id="rId28" w:anchor="confidential">
        <w:r w:rsidRPr="1DFC1574">
          <w:rPr>
            <w:rStyle w:val="Hyperlink"/>
            <w:rFonts w:eastAsia="Arial" w:cs="Arial"/>
            <w:color w:val="467886"/>
          </w:rPr>
          <w:t>wecare.illinois.edu/resources/students/#confidential</w:t>
        </w:r>
      </w:hyperlink>
      <w:r w:rsidRPr="1DFC1574">
        <w:rPr>
          <w:rFonts w:eastAsia="Arial" w:cs="Arial"/>
          <w:color w:val="000000" w:themeColor="text1"/>
        </w:rPr>
        <w:t xml:space="preserve">. </w:t>
      </w:r>
    </w:p>
    <w:p w14:paraId="0C8577E2" w14:textId="16CB45D9" w:rsidR="1DFC1574" w:rsidRDefault="1DFC1574" w:rsidP="1DFC1574">
      <w:pPr>
        <w:spacing w:after="0"/>
        <w:rPr>
          <w:rFonts w:eastAsia="Arial" w:cs="Arial"/>
          <w:color w:val="000000" w:themeColor="text1"/>
        </w:rPr>
      </w:pPr>
    </w:p>
    <w:p w14:paraId="748421A5" w14:textId="75FAE432" w:rsidR="1DFC1574" w:rsidRPr="00CE3355" w:rsidRDefault="1DFC1574" w:rsidP="00CE3355">
      <w:pPr>
        <w:spacing w:after="0"/>
        <w:rPr>
          <w:rFonts w:eastAsia="Arial" w:cs="Arial"/>
          <w:color w:val="000000" w:themeColor="text1"/>
        </w:rPr>
      </w:pPr>
      <w:r w:rsidRPr="1DFC1574">
        <w:rPr>
          <w:rFonts w:eastAsia="Arial" w:cs="Arial"/>
          <w:color w:val="000000" w:themeColor="text1"/>
        </w:rPr>
        <w:lastRenderedPageBreak/>
        <w:t xml:space="preserve">Other information about resources and reporting is available here: </w:t>
      </w:r>
      <w:hyperlink r:id="rId29">
        <w:r w:rsidRPr="1DFC1574">
          <w:rPr>
            <w:rStyle w:val="Hyperlink"/>
            <w:rFonts w:eastAsia="Arial" w:cs="Arial"/>
            <w:color w:val="467886"/>
          </w:rPr>
          <w:t>wecare.illinois.edu</w:t>
        </w:r>
      </w:hyperlink>
      <w:r w:rsidRPr="1DFC1574">
        <w:rPr>
          <w:rFonts w:eastAsia="Arial" w:cs="Arial"/>
          <w:color w:val="000000" w:themeColor="text1"/>
        </w:rPr>
        <w:t>.</w:t>
      </w:r>
    </w:p>
    <w:p w14:paraId="47C54528" w14:textId="77777777" w:rsidR="00CE3355" w:rsidRDefault="00CE3355"/>
    <w:p w14:paraId="6146B1B1" w14:textId="77777777" w:rsidR="001C4195" w:rsidRPr="00E856E7" w:rsidRDefault="1DFC1574" w:rsidP="001C4195">
      <w:pPr>
        <w:pStyle w:val="Heading2"/>
      </w:pPr>
      <w:r>
        <w:t>Veterans and Military Students</w:t>
      </w:r>
    </w:p>
    <w:p w14:paraId="6B6929B1" w14:textId="66944E79" w:rsidR="1DFC1574" w:rsidRDefault="1DFC1574" w:rsidP="1DFC1574">
      <w:pPr>
        <w:spacing w:after="0"/>
        <w:rPr>
          <w:rFonts w:eastAsia="Arial" w:cs="Arial"/>
        </w:rPr>
      </w:pPr>
      <w:r w:rsidRPr="1DFC1574">
        <w:rPr>
          <w:rFonts w:eastAsia="Arial" w:cs="Arial"/>
          <w:color w:val="000000" w:themeColor="text1"/>
        </w:rPr>
        <w:t>As a military-friendly institution, and per federal regulations and Illinois statutes, the University of Illinois Urbana-Champaign has established policies and procedures to accommodate military-connected students. In addition to the support available at the Chez Veterans Center (</w:t>
      </w:r>
      <w:hyperlink r:id="rId30">
        <w:r w:rsidRPr="1DFC1574">
          <w:rPr>
            <w:rStyle w:val="Hyperlink"/>
            <w:rFonts w:eastAsia="Arial" w:cs="Arial"/>
          </w:rPr>
          <w:t>https://chezveteranscenter.ahs.illinois.edu/</w:t>
        </w:r>
      </w:hyperlink>
      <w:r w:rsidRPr="1DFC1574">
        <w:rPr>
          <w:rFonts w:eastAsia="Arial" w:cs="Arial"/>
          <w:color w:val="000000" w:themeColor="text1"/>
        </w:rPr>
        <w:t>), members of the National Guard or Reserves and active-duty military personnel with military obligations (e.g., deployments, training, drills) are encouraged to communicate these, in advance whenever possible, to the instructor. The policy for Excused Absences and Departure from the University for U.S. Military or other U.S. National Defense Services can be found at </w:t>
      </w:r>
      <w:hyperlink r:id="rId31">
        <w:r w:rsidRPr="1DFC1574">
          <w:rPr>
            <w:rStyle w:val="Hyperlink"/>
            <w:rFonts w:eastAsia="Arial" w:cs="Arial"/>
          </w:rPr>
          <w:t>https://studentcode.illinois.edu/article3/part3/3-313</w:t>
        </w:r>
      </w:hyperlink>
      <w:r w:rsidRPr="1DFC1574">
        <w:rPr>
          <w:rFonts w:eastAsia="Arial" w:cs="Arial"/>
          <w:color w:val="000000" w:themeColor="text1"/>
        </w:rPr>
        <w:t>.</w:t>
      </w:r>
    </w:p>
    <w:p w14:paraId="2BDAECF1" w14:textId="655C80ED" w:rsidR="00C358B1" w:rsidRDefault="00C358B1" w:rsidP="00C358B1">
      <w:pPr>
        <w:rPr>
          <w:b/>
          <w:bCs/>
        </w:rPr>
      </w:pPr>
    </w:p>
    <w:p w14:paraId="08C099C5" w14:textId="4BB60D55" w:rsidR="00C358B1" w:rsidRPr="000B56FE" w:rsidRDefault="00C358B1" w:rsidP="003149AA">
      <w:pPr>
        <w:pStyle w:val="Heading1"/>
      </w:pPr>
      <w:r w:rsidRPr="000B56FE">
        <w:t>Course Schedule</w:t>
      </w:r>
      <w:r w:rsidR="00711B4E">
        <w:t>/Outline</w:t>
      </w:r>
    </w:p>
    <w:p w14:paraId="731CC3C8" w14:textId="77777777" w:rsidR="00C358B1" w:rsidRPr="000B56FE" w:rsidRDefault="00C358B1" w:rsidP="00C358B1">
      <w:pPr>
        <w:pStyle w:val="BodyText"/>
        <w:ind w:left="-180"/>
        <w:rPr>
          <w:i/>
          <w:sz w:val="20"/>
        </w:rPr>
      </w:pPr>
    </w:p>
    <w:tbl>
      <w:tblPr>
        <w:tblStyle w:val="TableGrid"/>
        <w:tblW w:w="0" w:type="auto"/>
        <w:tblLook w:val="04A0" w:firstRow="1" w:lastRow="0" w:firstColumn="1" w:lastColumn="0" w:noHBand="0" w:noVBand="1"/>
        <w:tblDescription w:val="Table containing a list of weekly date ranges, topics, and related weekly assignments."/>
      </w:tblPr>
      <w:tblGrid>
        <w:gridCol w:w="2875"/>
        <w:gridCol w:w="3358"/>
        <w:gridCol w:w="3117"/>
      </w:tblGrid>
      <w:tr w:rsidR="00711B4E" w:rsidRPr="009074A8" w14:paraId="0F45B342" w14:textId="77777777" w:rsidTr="00711B4E">
        <w:trPr>
          <w:tblHeader/>
        </w:trPr>
        <w:tc>
          <w:tcPr>
            <w:tcW w:w="2875" w:type="dxa"/>
            <w:shd w:val="clear" w:color="auto" w:fill="2F5496" w:themeFill="accent1" w:themeFillShade="BF"/>
          </w:tcPr>
          <w:p w14:paraId="19364715" w14:textId="77777777" w:rsidR="00711B4E" w:rsidRPr="009074A8" w:rsidRDefault="00711B4E" w:rsidP="00E26F37">
            <w:pPr>
              <w:rPr>
                <w:b/>
                <w:color w:val="FFFFFF" w:themeColor="background1"/>
              </w:rPr>
            </w:pPr>
            <w:r w:rsidRPr="009074A8">
              <w:rPr>
                <w:b/>
                <w:color w:val="FFFFFF" w:themeColor="background1"/>
              </w:rPr>
              <w:t>Week</w:t>
            </w:r>
          </w:p>
        </w:tc>
        <w:tc>
          <w:tcPr>
            <w:tcW w:w="3358" w:type="dxa"/>
            <w:shd w:val="clear" w:color="auto" w:fill="2F5496" w:themeFill="accent1" w:themeFillShade="BF"/>
          </w:tcPr>
          <w:p w14:paraId="5251B9E8" w14:textId="77777777" w:rsidR="00711B4E" w:rsidRPr="009074A8" w:rsidRDefault="00711B4E" w:rsidP="00E26F37">
            <w:pPr>
              <w:rPr>
                <w:b/>
                <w:color w:val="FFFFFF" w:themeColor="background1"/>
              </w:rPr>
            </w:pPr>
            <w:r w:rsidRPr="009074A8">
              <w:rPr>
                <w:b/>
                <w:color w:val="FFFFFF" w:themeColor="background1"/>
              </w:rPr>
              <w:t>Topics</w:t>
            </w:r>
          </w:p>
        </w:tc>
        <w:tc>
          <w:tcPr>
            <w:tcW w:w="3117" w:type="dxa"/>
            <w:shd w:val="clear" w:color="auto" w:fill="2F5496" w:themeFill="accent1" w:themeFillShade="BF"/>
          </w:tcPr>
          <w:p w14:paraId="2455EBD9" w14:textId="77777777" w:rsidR="00711B4E" w:rsidRPr="009074A8" w:rsidRDefault="00711B4E" w:rsidP="00E26F37">
            <w:pPr>
              <w:rPr>
                <w:b/>
                <w:color w:val="FFFFFF" w:themeColor="background1"/>
              </w:rPr>
            </w:pPr>
            <w:r w:rsidRPr="009074A8">
              <w:rPr>
                <w:b/>
                <w:color w:val="FFFFFF" w:themeColor="background1"/>
              </w:rPr>
              <w:t>Instructional Activities</w:t>
            </w:r>
          </w:p>
        </w:tc>
      </w:tr>
      <w:tr w:rsidR="00A171B4" w14:paraId="4DEF9AF1" w14:textId="77777777" w:rsidTr="00A171B4">
        <w:trPr>
          <w:trHeight w:val="743"/>
        </w:trPr>
        <w:tc>
          <w:tcPr>
            <w:tcW w:w="2875" w:type="dxa"/>
            <w:vMerge w:val="restart"/>
          </w:tcPr>
          <w:p w14:paraId="7FFAB321" w14:textId="3EEC6D2F" w:rsidR="00A171B4" w:rsidRPr="001D18BC" w:rsidRDefault="00A171B4" w:rsidP="00E26F37">
            <w:r>
              <w:t>Week 1</w:t>
            </w:r>
            <w:r>
              <w:br/>
              <w:t>(Jan 20, 22)</w:t>
            </w:r>
          </w:p>
        </w:tc>
        <w:tc>
          <w:tcPr>
            <w:tcW w:w="3358" w:type="dxa"/>
            <w:vMerge w:val="restart"/>
          </w:tcPr>
          <w:p w14:paraId="43127AB8" w14:textId="77777777" w:rsidR="00A171B4" w:rsidRDefault="00A171B4" w:rsidP="00E26F37">
            <w:pPr>
              <w:pStyle w:val="ListBullet"/>
            </w:pPr>
            <w:r>
              <w:t>Becoming a scientist</w:t>
            </w:r>
          </w:p>
          <w:p w14:paraId="6F4ED9FB" w14:textId="77777777" w:rsidR="00A171B4" w:rsidRDefault="00A171B4" w:rsidP="00E26F37">
            <w:pPr>
              <w:pStyle w:val="ListBullet"/>
            </w:pPr>
            <w:r>
              <w:t>Ethics of research</w:t>
            </w:r>
          </w:p>
          <w:p w14:paraId="475B7F9F" w14:textId="77777777" w:rsidR="00A171B4" w:rsidRDefault="00A171B4" w:rsidP="00E26F37">
            <w:pPr>
              <w:pStyle w:val="ListBullet"/>
            </w:pPr>
            <w:r>
              <w:t>Lab safety</w:t>
            </w:r>
          </w:p>
          <w:p w14:paraId="390CC3ED" w14:textId="281BF90B" w:rsidR="00A171B4" w:rsidRPr="001D18BC" w:rsidRDefault="00A171B4" w:rsidP="00E26F37">
            <w:pPr>
              <w:pStyle w:val="ListBullet"/>
            </w:pPr>
            <w:r>
              <w:t xml:space="preserve">Importance of </w:t>
            </w:r>
            <w:r w:rsidR="00573181">
              <w:t>coonies</w:t>
            </w:r>
            <w:r>
              <w:t xml:space="preserve"> in microbiology</w:t>
            </w:r>
          </w:p>
        </w:tc>
        <w:tc>
          <w:tcPr>
            <w:tcW w:w="3117" w:type="dxa"/>
          </w:tcPr>
          <w:p w14:paraId="6FC8BE06" w14:textId="77777777" w:rsidR="00A171B4" w:rsidRDefault="00A171B4" w:rsidP="00A171B4">
            <w:pPr>
              <w:pStyle w:val="ListBullet"/>
            </w:pPr>
            <w:r>
              <w:t>Lab 1</w:t>
            </w:r>
          </w:p>
          <w:p w14:paraId="06B19181" w14:textId="77777777" w:rsidR="00A171B4" w:rsidRDefault="00A171B4" w:rsidP="00A171B4">
            <w:pPr>
              <w:pStyle w:val="ListBullet"/>
              <w:numPr>
                <w:ilvl w:val="0"/>
                <w:numId w:val="0"/>
              </w:numPr>
            </w:pPr>
            <w:r>
              <w:t>Lab tour</w:t>
            </w:r>
          </w:p>
          <w:p w14:paraId="02AB79C5" w14:textId="696299C2" w:rsidR="00A171B4" w:rsidRDefault="00A171B4" w:rsidP="00A171B4">
            <w:pPr>
              <w:pStyle w:val="ListBullet"/>
              <w:numPr>
                <w:ilvl w:val="0"/>
                <w:numId w:val="0"/>
              </w:numPr>
            </w:pPr>
            <w:r>
              <w:t>Safety in the lab</w:t>
            </w:r>
          </w:p>
          <w:p w14:paraId="206E98FB" w14:textId="5A65C513" w:rsidR="00573181" w:rsidRPr="001D18BC" w:rsidRDefault="00A171B4" w:rsidP="00E26F37">
            <w:r>
              <w:t>Aseptic technique</w:t>
            </w:r>
          </w:p>
        </w:tc>
      </w:tr>
      <w:tr w:rsidR="00A171B4" w14:paraId="603E093B" w14:textId="77777777" w:rsidTr="00A171B4">
        <w:trPr>
          <w:trHeight w:val="742"/>
        </w:trPr>
        <w:tc>
          <w:tcPr>
            <w:tcW w:w="2875" w:type="dxa"/>
            <w:vMerge/>
          </w:tcPr>
          <w:p w14:paraId="020BDE1C" w14:textId="77777777" w:rsidR="00A171B4" w:rsidRDefault="00A171B4" w:rsidP="00E26F37"/>
        </w:tc>
        <w:tc>
          <w:tcPr>
            <w:tcW w:w="3358" w:type="dxa"/>
            <w:vMerge/>
          </w:tcPr>
          <w:p w14:paraId="1C54911F" w14:textId="77777777" w:rsidR="00A171B4" w:rsidRDefault="00A171B4" w:rsidP="00E26F37">
            <w:pPr>
              <w:pStyle w:val="ListBullet"/>
            </w:pPr>
          </w:p>
        </w:tc>
        <w:tc>
          <w:tcPr>
            <w:tcW w:w="3117" w:type="dxa"/>
          </w:tcPr>
          <w:p w14:paraId="03255007" w14:textId="77777777" w:rsidR="00A171B4" w:rsidRDefault="00A171B4" w:rsidP="00A171B4">
            <w:pPr>
              <w:pStyle w:val="ListBullet"/>
            </w:pPr>
            <w:r>
              <w:t>Lab 2</w:t>
            </w:r>
          </w:p>
          <w:p w14:paraId="290BF02B" w14:textId="0D1F8152" w:rsidR="00A171B4" w:rsidRDefault="00A171B4" w:rsidP="00A171B4">
            <w:pPr>
              <w:pStyle w:val="ListBullet"/>
              <w:numPr>
                <w:ilvl w:val="0"/>
                <w:numId w:val="0"/>
              </w:numPr>
            </w:pPr>
            <w:r>
              <w:t>Streak for single colonies</w:t>
            </w:r>
          </w:p>
          <w:p w14:paraId="024FA40E" w14:textId="77777777" w:rsidR="000D7AF6" w:rsidRDefault="000D7AF6" w:rsidP="00A171B4">
            <w:pPr>
              <w:pStyle w:val="ListBullet"/>
              <w:numPr>
                <w:ilvl w:val="0"/>
                <w:numId w:val="0"/>
              </w:numPr>
            </w:pPr>
            <w:r>
              <w:t>Dilute cultures</w:t>
            </w:r>
          </w:p>
          <w:p w14:paraId="5BF21E13" w14:textId="587C7A24" w:rsidR="00573181" w:rsidRDefault="00573181" w:rsidP="00A171B4">
            <w:pPr>
              <w:pStyle w:val="ListBullet"/>
              <w:numPr>
                <w:ilvl w:val="0"/>
                <w:numId w:val="0"/>
              </w:numPr>
            </w:pPr>
            <w:r>
              <w:t>Pipetting</w:t>
            </w:r>
          </w:p>
          <w:p w14:paraId="73500789" w14:textId="02C95F0A" w:rsidR="00A171B4" w:rsidRDefault="00A171B4" w:rsidP="00A171B4">
            <w:pPr>
              <w:pStyle w:val="ListBullet"/>
              <w:numPr>
                <w:ilvl w:val="0"/>
                <w:numId w:val="0"/>
              </w:numPr>
            </w:pPr>
            <w:r>
              <w:t>Spread plates</w:t>
            </w:r>
            <w:r w:rsidR="000D7AF6">
              <w:t xml:space="preserve"> for single colonies</w:t>
            </w:r>
          </w:p>
        </w:tc>
      </w:tr>
      <w:tr w:rsidR="00A171B4" w14:paraId="1D43AC4C" w14:textId="77777777" w:rsidTr="00A171B4">
        <w:trPr>
          <w:trHeight w:val="743"/>
        </w:trPr>
        <w:tc>
          <w:tcPr>
            <w:tcW w:w="2875" w:type="dxa"/>
            <w:vMerge w:val="restart"/>
          </w:tcPr>
          <w:p w14:paraId="7FC1B744" w14:textId="382FEC2A" w:rsidR="00A171B4" w:rsidRDefault="00A171B4" w:rsidP="00E26F37">
            <w:r>
              <w:t>Week 2</w:t>
            </w:r>
            <w:r>
              <w:br/>
              <w:t>(Jan 27, 29)</w:t>
            </w:r>
          </w:p>
        </w:tc>
        <w:tc>
          <w:tcPr>
            <w:tcW w:w="3358" w:type="dxa"/>
            <w:vMerge w:val="restart"/>
          </w:tcPr>
          <w:p w14:paraId="4F235553" w14:textId="77777777" w:rsidR="00A171B4" w:rsidRDefault="00A171B4" w:rsidP="00E26F37">
            <w:pPr>
              <w:pStyle w:val="ListBullet"/>
            </w:pPr>
            <w:r>
              <w:t>Soil and antibiotics</w:t>
            </w:r>
          </w:p>
          <w:p w14:paraId="3AC9759B" w14:textId="77777777" w:rsidR="00A171B4" w:rsidRDefault="00A171B4" w:rsidP="00E26F37">
            <w:pPr>
              <w:pStyle w:val="ListBullet"/>
            </w:pPr>
            <w:r>
              <w:t>Bacterial colonies</w:t>
            </w:r>
          </w:p>
          <w:p w14:paraId="45A0A8FC" w14:textId="64C5BF6D" w:rsidR="00A171B4" w:rsidRDefault="00A171B4" w:rsidP="00E26F37">
            <w:pPr>
              <w:pStyle w:val="ListBullet"/>
            </w:pPr>
            <w:r>
              <w:t>Media type</w:t>
            </w:r>
          </w:p>
        </w:tc>
        <w:tc>
          <w:tcPr>
            <w:tcW w:w="3117" w:type="dxa"/>
          </w:tcPr>
          <w:p w14:paraId="1A138A40" w14:textId="2BD6A91E" w:rsidR="00A171B4" w:rsidRDefault="00A171B4" w:rsidP="00A171B4">
            <w:pPr>
              <w:pStyle w:val="ListBullet"/>
            </w:pPr>
            <w:r>
              <w:t xml:space="preserve">Lab </w:t>
            </w:r>
            <w:r w:rsidR="003E540C">
              <w:t>3</w:t>
            </w:r>
          </w:p>
          <w:p w14:paraId="3D68A90D" w14:textId="3D4955EF" w:rsidR="00A171B4" w:rsidRDefault="00A171B4" w:rsidP="00A171B4">
            <w:pPr>
              <w:pStyle w:val="ListBullet"/>
              <w:numPr>
                <w:ilvl w:val="0"/>
                <w:numId w:val="0"/>
              </w:numPr>
            </w:pPr>
            <w:r>
              <w:t>Choos</w:t>
            </w:r>
            <w:r w:rsidR="000D7AF6">
              <w:t>e</w:t>
            </w:r>
            <w:r>
              <w:t xml:space="preserve"> agar</w:t>
            </w:r>
          </w:p>
          <w:p w14:paraId="18D2F70E" w14:textId="443102F8" w:rsidR="004369F0" w:rsidRDefault="004369F0" w:rsidP="00A171B4">
            <w:pPr>
              <w:pStyle w:val="ListBullet"/>
              <w:numPr>
                <w:ilvl w:val="0"/>
                <w:numId w:val="0"/>
              </w:numPr>
            </w:pPr>
            <w:r>
              <w:t>Prepar</w:t>
            </w:r>
            <w:r w:rsidR="000D7AF6">
              <w:t>e</w:t>
            </w:r>
            <w:r>
              <w:t xml:space="preserve"> agar plates</w:t>
            </w:r>
          </w:p>
          <w:p w14:paraId="3F7F99FF" w14:textId="3424F474" w:rsidR="00A171B4" w:rsidRDefault="00A171B4" w:rsidP="00E26F37">
            <w:r>
              <w:t>Plat</w:t>
            </w:r>
            <w:r w:rsidR="000D7AF6">
              <w:t>e</w:t>
            </w:r>
            <w:r>
              <w:t xml:space="preserve"> </w:t>
            </w:r>
            <w:r w:rsidR="00573181">
              <w:t xml:space="preserve">culture </w:t>
            </w:r>
            <w:r>
              <w:t>serial dilutions</w:t>
            </w:r>
          </w:p>
        </w:tc>
      </w:tr>
      <w:tr w:rsidR="00A171B4" w14:paraId="338B6705" w14:textId="77777777" w:rsidTr="00A171B4">
        <w:trPr>
          <w:trHeight w:val="742"/>
        </w:trPr>
        <w:tc>
          <w:tcPr>
            <w:tcW w:w="2875" w:type="dxa"/>
            <w:vMerge/>
          </w:tcPr>
          <w:p w14:paraId="7D381F8D" w14:textId="77777777" w:rsidR="00A171B4" w:rsidRDefault="00A171B4" w:rsidP="00E26F37"/>
        </w:tc>
        <w:tc>
          <w:tcPr>
            <w:tcW w:w="3358" w:type="dxa"/>
            <w:vMerge/>
          </w:tcPr>
          <w:p w14:paraId="6D1F543D" w14:textId="77777777" w:rsidR="00A171B4" w:rsidRDefault="00A171B4" w:rsidP="00E26F37">
            <w:pPr>
              <w:pStyle w:val="ListBullet"/>
            </w:pPr>
          </w:p>
        </w:tc>
        <w:tc>
          <w:tcPr>
            <w:tcW w:w="3117" w:type="dxa"/>
          </w:tcPr>
          <w:p w14:paraId="79825E6D" w14:textId="7F2C6078" w:rsidR="00A171B4" w:rsidRDefault="004369F0" w:rsidP="004369F0">
            <w:pPr>
              <w:pStyle w:val="ListBullet"/>
            </w:pPr>
            <w:r>
              <w:t xml:space="preserve">Lab </w:t>
            </w:r>
            <w:r w:rsidR="003E540C">
              <w:t>4</w:t>
            </w:r>
          </w:p>
          <w:p w14:paraId="25032790" w14:textId="41D43470" w:rsidR="004369F0" w:rsidRDefault="000D7AF6" w:rsidP="004369F0">
            <w:pPr>
              <w:pStyle w:val="ListBullet"/>
              <w:numPr>
                <w:ilvl w:val="0"/>
                <w:numId w:val="0"/>
              </w:numPr>
            </w:pPr>
            <w:r>
              <w:t>Record soil characteristics</w:t>
            </w:r>
          </w:p>
          <w:p w14:paraId="66691B53" w14:textId="20C3B777" w:rsidR="005D6EA8" w:rsidRDefault="005D6EA8" w:rsidP="004369F0">
            <w:pPr>
              <w:pStyle w:val="ListBullet"/>
              <w:numPr>
                <w:ilvl w:val="0"/>
                <w:numId w:val="0"/>
              </w:numPr>
            </w:pPr>
            <w:r>
              <w:lastRenderedPageBreak/>
              <w:t>Prepare agar plates</w:t>
            </w:r>
          </w:p>
          <w:p w14:paraId="65EF9747" w14:textId="5069B86C" w:rsidR="004369F0" w:rsidRDefault="004369F0" w:rsidP="004369F0">
            <w:pPr>
              <w:pStyle w:val="ListBullet"/>
              <w:numPr>
                <w:ilvl w:val="0"/>
                <w:numId w:val="0"/>
              </w:numPr>
            </w:pPr>
            <w:r>
              <w:t>Plat</w:t>
            </w:r>
            <w:r w:rsidR="000D7AF6">
              <w:t>e</w:t>
            </w:r>
            <w:r>
              <w:t xml:space="preserve"> soil dilution</w:t>
            </w:r>
            <w:r w:rsidR="000D7AF6">
              <w:t>s</w:t>
            </w:r>
          </w:p>
        </w:tc>
      </w:tr>
      <w:tr w:rsidR="000D7AF6" w14:paraId="6B3FF606" w14:textId="77777777" w:rsidTr="000D7AF6">
        <w:trPr>
          <w:trHeight w:val="743"/>
        </w:trPr>
        <w:tc>
          <w:tcPr>
            <w:tcW w:w="2875" w:type="dxa"/>
            <w:vMerge w:val="restart"/>
          </w:tcPr>
          <w:p w14:paraId="66ED0555" w14:textId="188211DC" w:rsidR="000D7AF6" w:rsidRDefault="000D7AF6" w:rsidP="00E26F37">
            <w:r>
              <w:lastRenderedPageBreak/>
              <w:t>Week 3</w:t>
            </w:r>
            <w:r>
              <w:br/>
              <w:t>(Feb 3, 5)</w:t>
            </w:r>
          </w:p>
        </w:tc>
        <w:tc>
          <w:tcPr>
            <w:tcW w:w="3358" w:type="dxa"/>
            <w:vMerge w:val="restart"/>
          </w:tcPr>
          <w:p w14:paraId="77E5F0B9" w14:textId="77777777" w:rsidR="000D7AF6" w:rsidRDefault="000D7AF6" w:rsidP="00E26F37">
            <w:pPr>
              <w:pStyle w:val="ListBullet"/>
            </w:pPr>
            <w:r>
              <w:t>Colony morphology</w:t>
            </w:r>
          </w:p>
          <w:p w14:paraId="412B5F59" w14:textId="7FC53A42" w:rsidR="000D7AF6" w:rsidRDefault="000D7AF6" w:rsidP="00E26F37">
            <w:pPr>
              <w:pStyle w:val="ListBullet"/>
            </w:pPr>
            <w:r>
              <w:t>Importan</w:t>
            </w:r>
            <w:r w:rsidR="00573181">
              <w:t>ce</w:t>
            </w:r>
            <w:r>
              <w:t xml:space="preserve"> of single colonies</w:t>
            </w:r>
          </w:p>
          <w:p w14:paraId="54363223" w14:textId="77777777" w:rsidR="000D7AF6" w:rsidRDefault="000D7AF6" w:rsidP="00EB079D">
            <w:pPr>
              <w:pStyle w:val="ListBullet"/>
            </w:pPr>
            <w:r>
              <w:t>ESKAPE pathogens</w:t>
            </w:r>
            <w:r w:rsidR="005904C9">
              <w:t xml:space="preserve"> and fauxscape testers</w:t>
            </w:r>
          </w:p>
          <w:p w14:paraId="3E2E5AAE" w14:textId="77777777" w:rsidR="00AD0077" w:rsidRDefault="00AD0077" w:rsidP="00AD0077">
            <w:pPr>
              <w:pStyle w:val="ListBullet"/>
            </w:pPr>
            <w:r>
              <w:t>McFarland and cell concentration</w:t>
            </w:r>
          </w:p>
          <w:p w14:paraId="2DF27B20" w14:textId="48DDF982" w:rsidR="00AD0077" w:rsidRDefault="00AD0077" w:rsidP="00AD0077">
            <w:pPr>
              <w:pStyle w:val="ListBullet"/>
              <w:numPr>
                <w:ilvl w:val="0"/>
                <w:numId w:val="0"/>
              </w:numPr>
              <w:ind w:left="360"/>
            </w:pPr>
          </w:p>
        </w:tc>
        <w:tc>
          <w:tcPr>
            <w:tcW w:w="3117" w:type="dxa"/>
          </w:tcPr>
          <w:p w14:paraId="618339F3" w14:textId="4ABF3A5B" w:rsidR="000D7AF6" w:rsidRDefault="000D7AF6" w:rsidP="000D7AF6">
            <w:pPr>
              <w:pStyle w:val="ListBullet"/>
            </w:pPr>
            <w:r>
              <w:t xml:space="preserve">Lab </w:t>
            </w:r>
            <w:r w:rsidR="003E540C">
              <w:t>5</w:t>
            </w:r>
          </w:p>
          <w:p w14:paraId="6EB828E8" w14:textId="77777777" w:rsidR="000D7AF6" w:rsidRDefault="000D7AF6" w:rsidP="000D7AF6">
            <w:pPr>
              <w:pStyle w:val="ListBullet"/>
              <w:numPr>
                <w:ilvl w:val="0"/>
                <w:numId w:val="0"/>
              </w:numPr>
            </w:pPr>
            <w:r>
              <w:t>Morphology observations</w:t>
            </w:r>
          </w:p>
          <w:p w14:paraId="3E5F700A" w14:textId="022C0B3F" w:rsidR="000D7AF6" w:rsidRDefault="000D7AF6" w:rsidP="000D7AF6">
            <w:pPr>
              <w:pStyle w:val="ListBullet"/>
              <w:numPr>
                <w:ilvl w:val="0"/>
                <w:numId w:val="0"/>
              </w:numPr>
            </w:pPr>
            <w:r>
              <w:t>Count colonies</w:t>
            </w:r>
          </w:p>
          <w:p w14:paraId="4A6A4E05" w14:textId="6D35DE3B" w:rsidR="000D7AF6" w:rsidRDefault="000D7AF6" w:rsidP="00E26F37">
            <w:r>
              <w:t>Patch antibiotic producer candidates</w:t>
            </w:r>
          </w:p>
        </w:tc>
      </w:tr>
      <w:tr w:rsidR="000D7AF6" w14:paraId="434AD599" w14:textId="77777777" w:rsidTr="000D7AF6">
        <w:trPr>
          <w:trHeight w:val="742"/>
        </w:trPr>
        <w:tc>
          <w:tcPr>
            <w:tcW w:w="2875" w:type="dxa"/>
            <w:vMerge/>
          </w:tcPr>
          <w:p w14:paraId="2DC641DE" w14:textId="77777777" w:rsidR="000D7AF6" w:rsidRDefault="000D7AF6" w:rsidP="00E26F37"/>
        </w:tc>
        <w:tc>
          <w:tcPr>
            <w:tcW w:w="3358" w:type="dxa"/>
            <w:vMerge/>
          </w:tcPr>
          <w:p w14:paraId="29D99B92" w14:textId="77777777" w:rsidR="000D7AF6" w:rsidRDefault="000D7AF6" w:rsidP="00E26F37">
            <w:pPr>
              <w:pStyle w:val="ListBullet"/>
            </w:pPr>
          </w:p>
        </w:tc>
        <w:tc>
          <w:tcPr>
            <w:tcW w:w="3117" w:type="dxa"/>
          </w:tcPr>
          <w:p w14:paraId="60CD2988" w14:textId="087A24B8" w:rsidR="000D7AF6" w:rsidRDefault="000D7AF6" w:rsidP="000D7AF6">
            <w:pPr>
              <w:pStyle w:val="ListBullet"/>
            </w:pPr>
            <w:r>
              <w:t xml:space="preserve">Lab </w:t>
            </w:r>
            <w:r w:rsidR="003E540C">
              <w:t>6</w:t>
            </w:r>
          </w:p>
          <w:p w14:paraId="544528BD" w14:textId="77777777" w:rsidR="000D7AF6" w:rsidRDefault="000D7AF6" w:rsidP="000D7AF6">
            <w:pPr>
              <w:pStyle w:val="ListBullet"/>
              <w:numPr>
                <w:ilvl w:val="0"/>
                <w:numId w:val="0"/>
              </w:numPr>
            </w:pPr>
            <w:r>
              <w:t>Choose fauxscape tester strain</w:t>
            </w:r>
          </w:p>
          <w:p w14:paraId="16C57BAC" w14:textId="209089D0" w:rsidR="00AD0077" w:rsidRDefault="00AD0077" w:rsidP="000D7AF6">
            <w:pPr>
              <w:pStyle w:val="ListBullet"/>
              <w:numPr>
                <w:ilvl w:val="0"/>
                <w:numId w:val="0"/>
              </w:numPr>
            </w:pPr>
            <w:r>
              <w:t>Prepare McFarland standard culture</w:t>
            </w:r>
          </w:p>
          <w:p w14:paraId="1C31F32D" w14:textId="4636C611" w:rsidR="000D7AF6" w:rsidRDefault="000D7AF6" w:rsidP="000D7AF6">
            <w:pPr>
              <w:pStyle w:val="ListBullet"/>
              <w:numPr>
                <w:ilvl w:val="0"/>
                <w:numId w:val="0"/>
              </w:numPr>
            </w:pPr>
            <w:r>
              <w:t>Spread plate tester and patch producers</w:t>
            </w:r>
          </w:p>
        </w:tc>
      </w:tr>
      <w:tr w:rsidR="000D7AF6" w14:paraId="79E89B7A" w14:textId="77777777" w:rsidTr="000D7AF6">
        <w:trPr>
          <w:trHeight w:val="1350"/>
        </w:trPr>
        <w:tc>
          <w:tcPr>
            <w:tcW w:w="2875" w:type="dxa"/>
            <w:vMerge w:val="restart"/>
          </w:tcPr>
          <w:p w14:paraId="41265EEC" w14:textId="6F0CAA40" w:rsidR="000D7AF6" w:rsidRDefault="000D7AF6" w:rsidP="00E26F37">
            <w:r>
              <w:t>Week 4</w:t>
            </w:r>
            <w:r>
              <w:br/>
              <w:t>(Feb 10, 11)</w:t>
            </w:r>
          </w:p>
        </w:tc>
        <w:tc>
          <w:tcPr>
            <w:tcW w:w="3358" w:type="dxa"/>
            <w:vMerge w:val="restart"/>
          </w:tcPr>
          <w:p w14:paraId="3F9383C6" w14:textId="4EDAA321" w:rsidR="000D7AF6" w:rsidRDefault="000D7AF6" w:rsidP="00E26F37">
            <w:pPr>
              <w:pStyle w:val="ListBullet"/>
            </w:pPr>
            <w:r>
              <w:t>Zone of inhibition</w:t>
            </w:r>
          </w:p>
          <w:p w14:paraId="7814624A" w14:textId="467E3DE1" w:rsidR="000D7AF6" w:rsidRDefault="000D7AF6" w:rsidP="00E26F37">
            <w:pPr>
              <w:pStyle w:val="ListBullet"/>
            </w:pPr>
            <w:r>
              <w:t>Antibiotic</w:t>
            </w:r>
            <w:r w:rsidR="00AD0077">
              <w:t xml:space="preserve"> production</w:t>
            </w:r>
            <w:r>
              <w:t xml:space="preserve"> screening</w:t>
            </w:r>
          </w:p>
        </w:tc>
        <w:tc>
          <w:tcPr>
            <w:tcW w:w="3117" w:type="dxa"/>
          </w:tcPr>
          <w:p w14:paraId="61DAD302" w14:textId="2367EFA9" w:rsidR="000D7AF6" w:rsidRDefault="000D7AF6" w:rsidP="000D7AF6">
            <w:pPr>
              <w:pStyle w:val="ListBullet"/>
            </w:pPr>
            <w:r>
              <w:t xml:space="preserve">Lab </w:t>
            </w:r>
            <w:r w:rsidR="003E540C">
              <w:t>7</w:t>
            </w:r>
          </w:p>
          <w:p w14:paraId="202598DB" w14:textId="72BBB3B7" w:rsidR="005904C9" w:rsidRDefault="005904C9" w:rsidP="000D7AF6">
            <w:pPr>
              <w:pStyle w:val="ListBullet"/>
              <w:numPr>
                <w:ilvl w:val="0"/>
                <w:numId w:val="0"/>
              </w:numPr>
            </w:pPr>
            <w:r>
              <w:t>Evaluate fauxscape plates</w:t>
            </w:r>
          </w:p>
          <w:p w14:paraId="410BB9ED" w14:textId="766C7265" w:rsidR="000D7AF6" w:rsidRDefault="005904C9" w:rsidP="00AD0077">
            <w:pPr>
              <w:pStyle w:val="ListBullet"/>
              <w:numPr>
                <w:ilvl w:val="0"/>
                <w:numId w:val="0"/>
              </w:numPr>
            </w:pPr>
            <w:r>
              <w:t>Streak candidate strains for single colonies</w:t>
            </w:r>
          </w:p>
        </w:tc>
      </w:tr>
      <w:tr w:rsidR="000D7AF6" w14:paraId="150CD004" w14:textId="77777777" w:rsidTr="000D7AF6">
        <w:trPr>
          <w:trHeight w:val="1350"/>
        </w:trPr>
        <w:tc>
          <w:tcPr>
            <w:tcW w:w="2875" w:type="dxa"/>
            <w:vMerge/>
          </w:tcPr>
          <w:p w14:paraId="1544C77E" w14:textId="77777777" w:rsidR="000D7AF6" w:rsidRDefault="000D7AF6" w:rsidP="00E26F37"/>
        </w:tc>
        <w:tc>
          <w:tcPr>
            <w:tcW w:w="3358" w:type="dxa"/>
            <w:vMerge/>
          </w:tcPr>
          <w:p w14:paraId="0AA5DB88" w14:textId="77777777" w:rsidR="000D7AF6" w:rsidRDefault="000D7AF6" w:rsidP="00E26F37">
            <w:pPr>
              <w:pStyle w:val="ListBullet"/>
            </w:pPr>
          </w:p>
        </w:tc>
        <w:tc>
          <w:tcPr>
            <w:tcW w:w="3117" w:type="dxa"/>
          </w:tcPr>
          <w:p w14:paraId="58A6BC3C" w14:textId="7A9EBBC0" w:rsidR="000D7AF6" w:rsidRDefault="000D7AF6" w:rsidP="000D7AF6">
            <w:pPr>
              <w:pStyle w:val="ListBullet"/>
            </w:pPr>
            <w:r>
              <w:t xml:space="preserve">Lab </w:t>
            </w:r>
            <w:r w:rsidR="003E540C">
              <w:t>8</w:t>
            </w:r>
          </w:p>
          <w:p w14:paraId="38A3842C" w14:textId="77777777" w:rsidR="000D7AF6" w:rsidRDefault="005D6EA8" w:rsidP="000D7AF6">
            <w:pPr>
              <w:pStyle w:val="ListBullet"/>
              <w:numPr>
                <w:ilvl w:val="0"/>
                <w:numId w:val="0"/>
              </w:numPr>
            </w:pPr>
            <w:r>
              <w:t xml:space="preserve">Repeat </w:t>
            </w:r>
            <w:r w:rsidR="00320D46">
              <w:t xml:space="preserve">patch and plate </w:t>
            </w:r>
            <w:r>
              <w:t>screening with other media or other test strains</w:t>
            </w:r>
          </w:p>
          <w:p w14:paraId="17E3B112" w14:textId="006C6BB6" w:rsidR="00320D46" w:rsidRDefault="00320D46" w:rsidP="000D7AF6">
            <w:pPr>
              <w:pStyle w:val="ListBullet"/>
              <w:numPr>
                <w:ilvl w:val="0"/>
                <w:numId w:val="0"/>
              </w:numPr>
            </w:pPr>
            <w:r>
              <w:t>Students attempt other screening methods</w:t>
            </w:r>
          </w:p>
        </w:tc>
      </w:tr>
      <w:tr w:rsidR="005D6EA8" w14:paraId="78B213CD" w14:textId="77777777" w:rsidTr="005D6EA8">
        <w:trPr>
          <w:trHeight w:val="375"/>
        </w:trPr>
        <w:tc>
          <w:tcPr>
            <w:tcW w:w="2875" w:type="dxa"/>
            <w:vMerge w:val="restart"/>
          </w:tcPr>
          <w:p w14:paraId="745C5383" w14:textId="6AD70606" w:rsidR="005D6EA8" w:rsidRDefault="005D6EA8" w:rsidP="00E26F37">
            <w:r>
              <w:t>Week 5</w:t>
            </w:r>
            <w:r>
              <w:br/>
              <w:t>(Feb 17, 19)</w:t>
            </w:r>
          </w:p>
        </w:tc>
        <w:tc>
          <w:tcPr>
            <w:tcW w:w="3358" w:type="dxa"/>
            <w:vMerge w:val="restart"/>
          </w:tcPr>
          <w:p w14:paraId="5B2E5011" w14:textId="77777777" w:rsidR="00320D46" w:rsidRDefault="00320D46" w:rsidP="00E26F37">
            <w:pPr>
              <w:pStyle w:val="ListBullet"/>
            </w:pPr>
            <w:r>
              <w:t>Differential media</w:t>
            </w:r>
          </w:p>
          <w:p w14:paraId="14FCACEC" w14:textId="63309E1B" w:rsidR="005D6EA8" w:rsidRDefault="00320D46" w:rsidP="00E26F37">
            <w:pPr>
              <w:pStyle w:val="ListBullet"/>
            </w:pPr>
            <w:r>
              <w:t>Characterizing bacterial metabolisms</w:t>
            </w:r>
          </w:p>
        </w:tc>
        <w:tc>
          <w:tcPr>
            <w:tcW w:w="3117" w:type="dxa"/>
          </w:tcPr>
          <w:p w14:paraId="0779F294" w14:textId="77777777" w:rsidR="005D6EA8" w:rsidRDefault="003E540C" w:rsidP="003E540C">
            <w:pPr>
              <w:pStyle w:val="ListBullet"/>
            </w:pPr>
            <w:r>
              <w:t>Lab 9</w:t>
            </w:r>
          </w:p>
          <w:p w14:paraId="1A70CB68" w14:textId="77777777" w:rsidR="003E540C" w:rsidRDefault="00320D46" w:rsidP="003E540C">
            <w:pPr>
              <w:pStyle w:val="ListBullet"/>
              <w:numPr>
                <w:ilvl w:val="0"/>
                <w:numId w:val="0"/>
              </w:numPr>
            </w:pPr>
            <w:r>
              <w:t>Set up biochemical tests for control strains</w:t>
            </w:r>
          </w:p>
          <w:p w14:paraId="3C82959A" w14:textId="1C50A2C9" w:rsidR="00320D46" w:rsidRDefault="00320D46" w:rsidP="003E540C">
            <w:pPr>
              <w:pStyle w:val="ListBullet"/>
              <w:numPr>
                <w:ilvl w:val="0"/>
                <w:numId w:val="0"/>
              </w:numPr>
            </w:pPr>
            <w:r>
              <w:t>Evaluate additional antibiotic production screens</w:t>
            </w:r>
          </w:p>
        </w:tc>
      </w:tr>
      <w:tr w:rsidR="005D6EA8" w14:paraId="1DFB8564" w14:textId="77777777" w:rsidTr="005D6EA8">
        <w:trPr>
          <w:trHeight w:val="375"/>
        </w:trPr>
        <w:tc>
          <w:tcPr>
            <w:tcW w:w="2875" w:type="dxa"/>
            <w:vMerge/>
          </w:tcPr>
          <w:p w14:paraId="7652A05C" w14:textId="77777777" w:rsidR="005D6EA8" w:rsidRDefault="005D6EA8" w:rsidP="00E26F37"/>
        </w:tc>
        <w:tc>
          <w:tcPr>
            <w:tcW w:w="3358" w:type="dxa"/>
            <w:vMerge/>
          </w:tcPr>
          <w:p w14:paraId="5ADEE9B3" w14:textId="77777777" w:rsidR="005D6EA8" w:rsidRDefault="005D6EA8" w:rsidP="00E26F37">
            <w:pPr>
              <w:pStyle w:val="ListBullet"/>
            </w:pPr>
          </w:p>
        </w:tc>
        <w:tc>
          <w:tcPr>
            <w:tcW w:w="3117" w:type="dxa"/>
          </w:tcPr>
          <w:p w14:paraId="7C598A61" w14:textId="77777777" w:rsidR="005D6EA8" w:rsidRDefault="003E540C" w:rsidP="003E540C">
            <w:pPr>
              <w:pStyle w:val="ListBullet"/>
            </w:pPr>
            <w:r>
              <w:t>Lab 10</w:t>
            </w:r>
          </w:p>
          <w:p w14:paraId="26774332" w14:textId="77777777" w:rsidR="003E540C" w:rsidRDefault="00320D46" w:rsidP="003E540C">
            <w:pPr>
              <w:pStyle w:val="ListBullet"/>
              <w:numPr>
                <w:ilvl w:val="0"/>
                <w:numId w:val="0"/>
              </w:numPr>
            </w:pPr>
            <w:r>
              <w:t>Score control</w:t>
            </w:r>
            <w:r w:rsidR="003E540C">
              <w:t xml:space="preserve"> biochemical tests</w:t>
            </w:r>
          </w:p>
          <w:p w14:paraId="34B850AB" w14:textId="7F0670FC" w:rsidR="00320D46" w:rsidRDefault="00320D46" w:rsidP="003E540C">
            <w:pPr>
              <w:pStyle w:val="ListBullet"/>
              <w:numPr>
                <w:ilvl w:val="0"/>
                <w:numId w:val="0"/>
              </w:numPr>
            </w:pPr>
            <w:r>
              <w:lastRenderedPageBreak/>
              <w:t>Set up biochemical tests for antibiotic producing strains</w:t>
            </w:r>
          </w:p>
        </w:tc>
      </w:tr>
      <w:tr w:rsidR="005D6EA8" w14:paraId="5042E505" w14:textId="77777777" w:rsidTr="005D6EA8">
        <w:trPr>
          <w:trHeight w:val="375"/>
        </w:trPr>
        <w:tc>
          <w:tcPr>
            <w:tcW w:w="2875" w:type="dxa"/>
            <w:vMerge w:val="restart"/>
          </w:tcPr>
          <w:p w14:paraId="0839AB68" w14:textId="3359BFCE" w:rsidR="005D6EA8" w:rsidRDefault="005D6EA8" w:rsidP="00E26F37">
            <w:r>
              <w:lastRenderedPageBreak/>
              <w:t>Week 6</w:t>
            </w:r>
            <w:r>
              <w:br/>
              <w:t>(Feb 24, 26)</w:t>
            </w:r>
          </w:p>
        </w:tc>
        <w:tc>
          <w:tcPr>
            <w:tcW w:w="3358" w:type="dxa"/>
            <w:vMerge w:val="restart"/>
          </w:tcPr>
          <w:p w14:paraId="074C7DBC" w14:textId="77777777" w:rsidR="005D6EA8" w:rsidRDefault="00DC1329" w:rsidP="00E26F37">
            <w:pPr>
              <w:pStyle w:val="ListBullet"/>
            </w:pPr>
            <w:r>
              <w:t>Antibiotic resistance</w:t>
            </w:r>
          </w:p>
          <w:p w14:paraId="27716809" w14:textId="75DA6E4E" w:rsidR="00DC1329" w:rsidRDefault="00DC1329" w:rsidP="00E26F37">
            <w:pPr>
              <w:pStyle w:val="ListBullet"/>
            </w:pPr>
            <w:r>
              <w:t>Plasmids and horizontal gene transfer</w:t>
            </w:r>
          </w:p>
        </w:tc>
        <w:tc>
          <w:tcPr>
            <w:tcW w:w="3117" w:type="dxa"/>
          </w:tcPr>
          <w:p w14:paraId="13BA4DF2" w14:textId="77777777" w:rsidR="005D6EA8" w:rsidRDefault="003E540C" w:rsidP="003E540C">
            <w:pPr>
              <w:pStyle w:val="ListBullet"/>
            </w:pPr>
            <w:r>
              <w:t>Lab 11</w:t>
            </w:r>
          </w:p>
          <w:p w14:paraId="26B519F4" w14:textId="77777777" w:rsidR="00320D46" w:rsidRDefault="00320D46" w:rsidP="00320D46">
            <w:pPr>
              <w:pStyle w:val="ListBullet"/>
              <w:numPr>
                <w:ilvl w:val="0"/>
                <w:numId w:val="0"/>
              </w:numPr>
            </w:pPr>
            <w:r>
              <w:t>Score antibiotic producer biochemical tests</w:t>
            </w:r>
          </w:p>
          <w:p w14:paraId="7421D13A" w14:textId="14EE87DE" w:rsidR="009676CD" w:rsidRDefault="009676CD" w:rsidP="00320D46">
            <w:pPr>
              <w:pStyle w:val="ListBullet"/>
              <w:numPr>
                <w:ilvl w:val="0"/>
                <w:numId w:val="0"/>
              </w:numPr>
            </w:pPr>
            <w:r>
              <w:t>Make permanent stocks</w:t>
            </w:r>
          </w:p>
          <w:p w14:paraId="60645895" w14:textId="77777777" w:rsidR="008D29AA" w:rsidRDefault="008D29AA" w:rsidP="00320D46">
            <w:pPr>
              <w:pStyle w:val="ListBullet"/>
              <w:numPr>
                <w:ilvl w:val="0"/>
                <w:numId w:val="0"/>
              </w:numPr>
            </w:pPr>
            <w:r>
              <w:t>Prepare antibiotic plates</w:t>
            </w:r>
          </w:p>
          <w:p w14:paraId="44B0DE09" w14:textId="363D99BC" w:rsidR="008D29AA" w:rsidRDefault="008D29AA" w:rsidP="00320D46">
            <w:pPr>
              <w:pStyle w:val="ListBullet"/>
              <w:numPr>
                <w:ilvl w:val="0"/>
                <w:numId w:val="0"/>
              </w:numPr>
            </w:pPr>
            <w:r>
              <w:t xml:space="preserve">Spread </w:t>
            </w:r>
          </w:p>
        </w:tc>
      </w:tr>
      <w:tr w:rsidR="005D6EA8" w14:paraId="743F8B8D" w14:textId="77777777" w:rsidTr="005D6EA8">
        <w:trPr>
          <w:trHeight w:val="375"/>
        </w:trPr>
        <w:tc>
          <w:tcPr>
            <w:tcW w:w="2875" w:type="dxa"/>
            <w:vMerge/>
          </w:tcPr>
          <w:p w14:paraId="1D5E7CE8" w14:textId="77777777" w:rsidR="005D6EA8" w:rsidRDefault="005D6EA8" w:rsidP="00E26F37"/>
        </w:tc>
        <w:tc>
          <w:tcPr>
            <w:tcW w:w="3358" w:type="dxa"/>
            <w:vMerge/>
          </w:tcPr>
          <w:p w14:paraId="4CEAA0FB" w14:textId="77777777" w:rsidR="005D6EA8" w:rsidRDefault="005D6EA8" w:rsidP="00E26F37">
            <w:pPr>
              <w:pStyle w:val="ListBullet"/>
            </w:pPr>
          </w:p>
        </w:tc>
        <w:tc>
          <w:tcPr>
            <w:tcW w:w="3117" w:type="dxa"/>
          </w:tcPr>
          <w:p w14:paraId="5CD25A72" w14:textId="77777777" w:rsidR="005D6EA8" w:rsidRDefault="003E540C" w:rsidP="003E540C">
            <w:pPr>
              <w:pStyle w:val="ListBullet"/>
            </w:pPr>
            <w:r>
              <w:t>Lab 12</w:t>
            </w:r>
          </w:p>
          <w:p w14:paraId="602E88B6" w14:textId="65B0F581" w:rsidR="00DC1329" w:rsidRDefault="00DC1329" w:rsidP="00DC1329">
            <w:pPr>
              <w:pStyle w:val="ListBullet"/>
              <w:numPr>
                <w:ilvl w:val="0"/>
                <w:numId w:val="0"/>
              </w:numPr>
            </w:pPr>
            <w:r>
              <w:t>Count antibiotic resistant colonies</w:t>
            </w:r>
          </w:p>
        </w:tc>
      </w:tr>
      <w:tr w:rsidR="005D6EA8" w14:paraId="0FC15C35" w14:textId="77777777" w:rsidTr="005D6EA8">
        <w:trPr>
          <w:trHeight w:val="375"/>
        </w:trPr>
        <w:tc>
          <w:tcPr>
            <w:tcW w:w="2875" w:type="dxa"/>
            <w:vMerge w:val="restart"/>
          </w:tcPr>
          <w:p w14:paraId="18048312" w14:textId="2F6247E0" w:rsidR="005D6EA8" w:rsidRDefault="005D6EA8" w:rsidP="00E26F37">
            <w:r>
              <w:t>Week 7</w:t>
            </w:r>
            <w:r>
              <w:br/>
              <w:t>(Mar 3, 4)</w:t>
            </w:r>
          </w:p>
        </w:tc>
        <w:tc>
          <w:tcPr>
            <w:tcW w:w="3358" w:type="dxa"/>
            <w:vMerge w:val="restart"/>
          </w:tcPr>
          <w:p w14:paraId="30C166B6" w14:textId="2C1CF3D8" w:rsidR="00DC1329" w:rsidRDefault="00C22F7B" w:rsidP="00DC1329">
            <w:pPr>
              <w:pStyle w:val="ListBullet"/>
            </w:pPr>
            <w:r>
              <w:t>Antimicrobial</w:t>
            </w:r>
            <w:r w:rsidR="00DC1329">
              <w:t xml:space="preserve"> susceptibility testing</w:t>
            </w:r>
          </w:p>
          <w:p w14:paraId="17A58042" w14:textId="3DC92557" w:rsidR="00DC1329" w:rsidRDefault="00C22F7B" w:rsidP="00DC1329">
            <w:pPr>
              <w:pStyle w:val="ListBullet"/>
            </w:pPr>
            <w:r>
              <w:t>Meuller-Hinton agar</w:t>
            </w:r>
          </w:p>
          <w:p w14:paraId="00250051" w14:textId="3C0F4471" w:rsidR="003E540C" w:rsidRDefault="003E540C" w:rsidP="00DC1329">
            <w:pPr>
              <w:pStyle w:val="ListBullet"/>
            </w:pPr>
            <w:r>
              <w:t>Practice</w:t>
            </w:r>
          </w:p>
        </w:tc>
        <w:tc>
          <w:tcPr>
            <w:tcW w:w="3117" w:type="dxa"/>
          </w:tcPr>
          <w:p w14:paraId="4D9F4BC3" w14:textId="77777777" w:rsidR="005D6EA8" w:rsidRDefault="003E540C" w:rsidP="003E540C">
            <w:pPr>
              <w:pStyle w:val="ListBullet"/>
            </w:pPr>
            <w:r>
              <w:t>Lab 13</w:t>
            </w:r>
          </w:p>
          <w:p w14:paraId="0AE67B3D" w14:textId="77777777" w:rsidR="00C22F7B" w:rsidRDefault="00C22F7B" w:rsidP="00DC1329">
            <w:pPr>
              <w:pStyle w:val="ListBullet"/>
              <w:numPr>
                <w:ilvl w:val="0"/>
                <w:numId w:val="0"/>
              </w:numPr>
            </w:pPr>
            <w:r>
              <w:t>Prepare antibiotic agar plates</w:t>
            </w:r>
          </w:p>
          <w:p w14:paraId="2689CE70" w14:textId="03338116" w:rsidR="00DC1329" w:rsidRDefault="00C22F7B" w:rsidP="00DC1329">
            <w:pPr>
              <w:pStyle w:val="ListBullet"/>
              <w:numPr>
                <w:ilvl w:val="0"/>
                <w:numId w:val="0"/>
              </w:numPr>
            </w:pPr>
            <w:r>
              <w:t>Streak</w:t>
            </w:r>
            <w:r w:rsidR="00DC1329">
              <w:t xml:space="preserve"> tester resistant strains</w:t>
            </w:r>
          </w:p>
        </w:tc>
      </w:tr>
      <w:tr w:rsidR="005D6EA8" w14:paraId="2F4A91B4" w14:textId="77777777" w:rsidTr="005D6EA8">
        <w:trPr>
          <w:trHeight w:val="375"/>
        </w:trPr>
        <w:tc>
          <w:tcPr>
            <w:tcW w:w="2875" w:type="dxa"/>
            <w:vMerge/>
          </w:tcPr>
          <w:p w14:paraId="2513D20D" w14:textId="77777777" w:rsidR="005D6EA8" w:rsidRDefault="005D6EA8" w:rsidP="00E26F37"/>
        </w:tc>
        <w:tc>
          <w:tcPr>
            <w:tcW w:w="3358" w:type="dxa"/>
            <w:vMerge/>
          </w:tcPr>
          <w:p w14:paraId="046DF9F1" w14:textId="77777777" w:rsidR="005D6EA8" w:rsidRDefault="005D6EA8" w:rsidP="00E26F37">
            <w:pPr>
              <w:pStyle w:val="ListBullet"/>
            </w:pPr>
          </w:p>
        </w:tc>
        <w:tc>
          <w:tcPr>
            <w:tcW w:w="3117" w:type="dxa"/>
          </w:tcPr>
          <w:p w14:paraId="174FDE02" w14:textId="77777777" w:rsidR="00DC1329" w:rsidRDefault="00DC1329" w:rsidP="003E540C">
            <w:pPr>
              <w:pStyle w:val="ListBullet"/>
            </w:pPr>
            <w:r>
              <w:t>Lab 14</w:t>
            </w:r>
          </w:p>
          <w:p w14:paraId="78094489" w14:textId="0F0268F8" w:rsidR="00DC1329" w:rsidRDefault="00DC1329" w:rsidP="00DC1329">
            <w:pPr>
              <w:pStyle w:val="ListBullet"/>
              <w:numPr>
                <w:ilvl w:val="0"/>
                <w:numId w:val="0"/>
              </w:numPr>
              <w:ind w:left="360" w:hanging="360"/>
            </w:pPr>
            <w:r>
              <w:t>Identify resistant strains</w:t>
            </w:r>
          </w:p>
          <w:p w14:paraId="0A1A5564" w14:textId="1FA1A551" w:rsidR="005D6EA8" w:rsidRDefault="003E540C" w:rsidP="00DC1329">
            <w:pPr>
              <w:pStyle w:val="ListBullet"/>
              <w:numPr>
                <w:ilvl w:val="0"/>
                <w:numId w:val="0"/>
              </w:numPr>
            </w:pPr>
            <w:r>
              <w:t>Catch-up and practice</w:t>
            </w:r>
          </w:p>
        </w:tc>
      </w:tr>
      <w:tr w:rsidR="00174BED" w14:paraId="61EECEE4" w14:textId="77777777" w:rsidTr="00174BED">
        <w:trPr>
          <w:trHeight w:val="615"/>
        </w:trPr>
        <w:tc>
          <w:tcPr>
            <w:tcW w:w="2875" w:type="dxa"/>
            <w:vMerge w:val="restart"/>
          </w:tcPr>
          <w:p w14:paraId="1EBD217B" w14:textId="110684BD" w:rsidR="00174BED" w:rsidRDefault="00174BED" w:rsidP="00E26F37">
            <w:r>
              <w:t>Week 8</w:t>
            </w:r>
            <w:r>
              <w:br/>
              <w:t>(Mar 10, 12)</w:t>
            </w:r>
          </w:p>
        </w:tc>
        <w:tc>
          <w:tcPr>
            <w:tcW w:w="3358" w:type="dxa"/>
            <w:vMerge w:val="restart"/>
          </w:tcPr>
          <w:p w14:paraId="35BBEFB1" w14:textId="37748EA0" w:rsidR="00174BED" w:rsidRDefault="00BB0420" w:rsidP="00E26F37">
            <w:pPr>
              <w:pStyle w:val="ListBullet"/>
            </w:pPr>
            <w:r>
              <w:t>Mar</w:t>
            </w:r>
            <w:r w:rsidR="00174BED">
              <w:t xml:space="preserve"> 10 catch-up and practice day</w:t>
            </w:r>
          </w:p>
          <w:p w14:paraId="58BA1C89" w14:textId="78B6B4F8" w:rsidR="00174BED" w:rsidRDefault="00174BED" w:rsidP="00E26F37">
            <w:pPr>
              <w:pStyle w:val="ListBullet"/>
            </w:pPr>
            <w:r>
              <w:t>Ma</w:t>
            </w:r>
            <w:r w:rsidR="00BB0420">
              <w:t>r</w:t>
            </w:r>
            <w:r>
              <w:t xml:space="preserve"> 12 First practical exam</w:t>
            </w:r>
          </w:p>
        </w:tc>
        <w:tc>
          <w:tcPr>
            <w:tcW w:w="3117" w:type="dxa"/>
          </w:tcPr>
          <w:p w14:paraId="76E59E17" w14:textId="6086E1A5" w:rsidR="00174BED" w:rsidRDefault="003E540C" w:rsidP="003E540C">
            <w:pPr>
              <w:pStyle w:val="ListBullet"/>
            </w:pPr>
            <w:r>
              <w:t>Catch-up and practice</w:t>
            </w:r>
          </w:p>
        </w:tc>
      </w:tr>
      <w:tr w:rsidR="00174BED" w14:paraId="7F252B11" w14:textId="77777777" w:rsidTr="00174BED">
        <w:trPr>
          <w:trHeight w:val="615"/>
        </w:trPr>
        <w:tc>
          <w:tcPr>
            <w:tcW w:w="2875" w:type="dxa"/>
            <w:vMerge/>
          </w:tcPr>
          <w:p w14:paraId="57CC2423" w14:textId="77777777" w:rsidR="00174BED" w:rsidRDefault="00174BED" w:rsidP="00E26F37"/>
        </w:tc>
        <w:tc>
          <w:tcPr>
            <w:tcW w:w="3358" w:type="dxa"/>
            <w:vMerge/>
          </w:tcPr>
          <w:p w14:paraId="4D934A3A" w14:textId="77777777" w:rsidR="00174BED" w:rsidRDefault="00174BED" w:rsidP="00E26F37">
            <w:pPr>
              <w:pStyle w:val="ListBullet"/>
            </w:pPr>
          </w:p>
        </w:tc>
        <w:tc>
          <w:tcPr>
            <w:tcW w:w="3117" w:type="dxa"/>
          </w:tcPr>
          <w:p w14:paraId="2693620C" w14:textId="0CE59AF9" w:rsidR="00174BED" w:rsidRDefault="00174BED" w:rsidP="00174BED">
            <w:pPr>
              <w:pStyle w:val="ListBullet"/>
            </w:pPr>
            <w:r>
              <w:t>Lab practical exam</w:t>
            </w:r>
          </w:p>
        </w:tc>
      </w:tr>
      <w:tr w:rsidR="003606A5" w14:paraId="07BC1DC0" w14:textId="77777777" w:rsidTr="00711B4E">
        <w:tc>
          <w:tcPr>
            <w:tcW w:w="2875" w:type="dxa"/>
          </w:tcPr>
          <w:p w14:paraId="3FA2D90A" w14:textId="61C22D60" w:rsidR="003606A5" w:rsidRDefault="003606A5" w:rsidP="00E26F37">
            <w:r>
              <w:t>Week 9</w:t>
            </w:r>
            <w:r>
              <w:br/>
              <w:t>(Mar 17, 19)</w:t>
            </w:r>
          </w:p>
        </w:tc>
        <w:tc>
          <w:tcPr>
            <w:tcW w:w="3358" w:type="dxa"/>
          </w:tcPr>
          <w:p w14:paraId="656D2448" w14:textId="34668694" w:rsidR="003606A5" w:rsidRDefault="003606A5" w:rsidP="00E26F37">
            <w:pPr>
              <w:pStyle w:val="ListBullet"/>
            </w:pPr>
            <w:r>
              <w:t>No class, Spring break</w:t>
            </w:r>
          </w:p>
        </w:tc>
        <w:tc>
          <w:tcPr>
            <w:tcW w:w="3117" w:type="dxa"/>
          </w:tcPr>
          <w:p w14:paraId="2715BB38" w14:textId="77777777" w:rsidR="003606A5" w:rsidRDefault="003606A5" w:rsidP="00E26F37"/>
        </w:tc>
      </w:tr>
      <w:tr w:rsidR="00174BED" w14:paraId="31EA7F79" w14:textId="77777777" w:rsidTr="00174BED">
        <w:trPr>
          <w:trHeight w:val="743"/>
        </w:trPr>
        <w:tc>
          <w:tcPr>
            <w:tcW w:w="2875" w:type="dxa"/>
            <w:vMerge w:val="restart"/>
          </w:tcPr>
          <w:p w14:paraId="2CEE0A50" w14:textId="41509B91" w:rsidR="00174BED" w:rsidRDefault="00174BED" w:rsidP="00E26F37">
            <w:r>
              <w:t>Week 10</w:t>
            </w:r>
            <w:r>
              <w:br/>
              <w:t>(Mar 24, 26)</w:t>
            </w:r>
          </w:p>
        </w:tc>
        <w:tc>
          <w:tcPr>
            <w:tcW w:w="3358" w:type="dxa"/>
            <w:vMerge w:val="restart"/>
          </w:tcPr>
          <w:p w14:paraId="0B029D1D" w14:textId="77777777" w:rsidR="00174BED" w:rsidRDefault="00174BED" w:rsidP="00E26F37">
            <w:pPr>
              <w:pStyle w:val="ListBullet"/>
            </w:pPr>
            <w:r>
              <w:t>Antibiotic targets</w:t>
            </w:r>
          </w:p>
          <w:p w14:paraId="2140A600" w14:textId="77777777" w:rsidR="00174BED" w:rsidRDefault="00174BED" w:rsidP="00E26F37">
            <w:pPr>
              <w:pStyle w:val="ListBullet"/>
            </w:pPr>
            <w:r>
              <w:t>Antibiotic resistance</w:t>
            </w:r>
          </w:p>
          <w:p w14:paraId="430E6B0A" w14:textId="0FAE874A" w:rsidR="00174BED" w:rsidRDefault="00174BED" w:rsidP="00E26F37">
            <w:pPr>
              <w:pStyle w:val="ListBullet"/>
            </w:pPr>
            <w:r>
              <w:t>Kirby-Bauer disk</w:t>
            </w:r>
            <w:r w:rsidR="00C22F7B">
              <w:t xml:space="preserve"> diffusion assay</w:t>
            </w:r>
          </w:p>
        </w:tc>
        <w:tc>
          <w:tcPr>
            <w:tcW w:w="3117" w:type="dxa"/>
          </w:tcPr>
          <w:p w14:paraId="512F5C1C" w14:textId="0B211F0F" w:rsidR="003E540C" w:rsidRDefault="003E540C" w:rsidP="003E540C">
            <w:pPr>
              <w:pStyle w:val="ListBullet"/>
            </w:pPr>
            <w:r>
              <w:t>Lab 1</w:t>
            </w:r>
            <w:r w:rsidR="00DC1329">
              <w:t>5</w:t>
            </w:r>
          </w:p>
          <w:p w14:paraId="3FB57378" w14:textId="5D5CEE50" w:rsidR="00174BED" w:rsidRDefault="00174BED" w:rsidP="003E540C">
            <w:pPr>
              <w:pStyle w:val="ListBullet"/>
              <w:numPr>
                <w:ilvl w:val="0"/>
                <w:numId w:val="0"/>
              </w:numPr>
            </w:pPr>
            <w:r>
              <w:t>Preparing agar plates</w:t>
            </w:r>
          </w:p>
          <w:p w14:paraId="1D52ED19" w14:textId="77777777" w:rsidR="00C22F7B" w:rsidRDefault="00174BED" w:rsidP="00C22F7B">
            <w:r>
              <w:t xml:space="preserve">Spread </w:t>
            </w:r>
            <w:r w:rsidR="00C22F7B">
              <w:t>tester strains</w:t>
            </w:r>
          </w:p>
          <w:p w14:paraId="1B2D3F85" w14:textId="4ACFB4AB" w:rsidR="00174BED" w:rsidRDefault="00174BED" w:rsidP="00C22F7B">
            <w:r>
              <w:t>Kirby Bauer disk method</w:t>
            </w:r>
          </w:p>
        </w:tc>
      </w:tr>
      <w:tr w:rsidR="00174BED" w14:paraId="365AF29D" w14:textId="77777777" w:rsidTr="00174BED">
        <w:trPr>
          <w:trHeight w:val="742"/>
        </w:trPr>
        <w:tc>
          <w:tcPr>
            <w:tcW w:w="2875" w:type="dxa"/>
            <w:vMerge/>
          </w:tcPr>
          <w:p w14:paraId="4BDB0D6B" w14:textId="77777777" w:rsidR="00174BED" w:rsidRDefault="00174BED" w:rsidP="00E26F37"/>
        </w:tc>
        <w:tc>
          <w:tcPr>
            <w:tcW w:w="3358" w:type="dxa"/>
            <w:vMerge/>
          </w:tcPr>
          <w:p w14:paraId="2D9E94F8" w14:textId="77777777" w:rsidR="00174BED" w:rsidRDefault="00174BED" w:rsidP="00E26F37">
            <w:pPr>
              <w:pStyle w:val="ListBullet"/>
            </w:pPr>
          </w:p>
        </w:tc>
        <w:tc>
          <w:tcPr>
            <w:tcW w:w="3117" w:type="dxa"/>
          </w:tcPr>
          <w:p w14:paraId="6CF36F38" w14:textId="77777777" w:rsidR="00174BED" w:rsidRDefault="003E540C" w:rsidP="003E540C">
            <w:pPr>
              <w:pStyle w:val="ListBullet"/>
            </w:pPr>
            <w:r>
              <w:t>Lab 1</w:t>
            </w:r>
            <w:r w:rsidR="00DC1329">
              <w:t>6</w:t>
            </w:r>
          </w:p>
          <w:p w14:paraId="51FEA497" w14:textId="77777777" w:rsidR="00C22F7B" w:rsidRDefault="00C22F7B" w:rsidP="00C22F7B">
            <w:pPr>
              <w:pStyle w:val="ListBullet"/>
              <w:numPr>
                <w:ilvl w:val="0"/>
                <w:numId w:val="0"/>
              </w:numPr>
              <w:ind w:left="360" w:hanging="360"/>
            </w:pPr>
            <w:r>
              <w:t>Measure zones of inhibition</w:t>
            </w:r>
          </w:p>
          <w:p w14:paraId="37C5B26E" w14:textId="7A20CEC0" w:rsidR="00C22F7B" w:rsidRDefault="00C22F7B" w:rsidP="00C22F7B">
            <w:pPr>
              <w:pStyle w:val="ListBullet"/>
              <w:numPr>
                <w:ilvl w:val="0"/>
                <w:numId w:val="0"/>
              </w:numPr>
              <w:ind w:left="360" w:hanging="360"/>
            </w:pPr>
          </w:p>
        </w:tc>
      </w:tr>
      <w:tr w:rsidR="00174BED" w14:paraId="2EAA8005" w14:textId="77777777" w:rsidTr="00174BED">
        <w:trPr>
          <w:trHeight w:val="825"/>
        </w:trPr>
        <w:tc>
          <w:tcPr>
            <w:tcW w:w="2875" w:type="dxa"/>
            <w:vMerge w:val="restart"/>
          </w:tcPr>
          <w:p w14:paraId="460DF490" w14:textId="51A3D33C" w:rsidR="00174BED" w:rsidRDefault="00174BED" w:rsidP="00E26F37">
            <w:r>
              <w:lastRenderedPageBreak/>
              <w:t>Week 11</w:t>
            </w:r>
            <w:r>
              <w:br/>
              <w:t>(Mar 31, Apr 2)</w:t>
            </w:r>
          </w:p>
        </w:tc>
        <w:tc>
          <w:tcPr>
            <w:tcW w:w="3358" w:type="dxa"/>
            <w:vMerge w:val="restart"/>
          </w:tcPr>
          <w:p w14:paraId="5AA75897" w14:textId="7AB030AF" w:rsidR="00174BED" w:rsidRDefault="009676CD" w:rsidP="00E26F37">
            <w:pPr>
              <w:pStyle w:val="ListBullet"/>
            </w:pPr>
            <w:r>
              <w:t>Antibiotic d</w:t>
            </w:r>
            <w:r w:rsidR="00174BED">
              <w:t>ilution plates and broth</w:t>
            </w:r>
          </w:p>
          <w:p w14:paraId="1E2DEF98" w14:textId="77777777" w:rsidR="00174BED" w:rsidRDefault="00174BED" w:rsidP="009676CD">
            <w:pPr>
              <w:pStyle w:val="ListBullet"/>
            </w:pPr>
            <w:r>
              <w:t>Minimal inhibitor</w:t>
            </w:r>
            <w:r w:rsidR="009676CD">
              <w:t>y</w:t>
            </w:r>
            <w:r>
              <w:t xml:space="preserve"> concentration</w:t>
            </w:r>
          </w:p>
          <w:p w14:paraId="206C1ED1" w14:textId="25E8D502" w:rsidR="009676CD" w:rsidRDefault="009676CD" w:rsidP="009676CD">
            <w:pPr>
              <w:pStyle w:val="ListBullet"/>
            </w:pPr>
            <w:r>
              <w:t>50% inhibitory concentration</w:t>
            </w:r>
          </w:p>
        </w:tc>
        <w:tc>
          <w:tcPr>
            <w:tcW w:w="3117" w:type="dxa"/>
          </w:tcPr>
          <w:p w14:paraId="68495F58" w14:textId="7696DDDF" w:rsidR="003E540C" w:rsidRDefault="003E540C" w:rsidP="003E540C">
            <w:pPr>
              <w:pStyle w:val="ListBullet"/>
            </w:pPr>
            <w:r>
              <w:t>Lab 1</w:t>
            </w:r>
            <w:r w:rsidR="00DC1329">
              <w:t>7</w:t>
            </w:r>
          </w:p>
          <w:p w14:paraId="120842E3" w14:textId="77777777" w:rsidR="009676CD" w:rsidRDefault="009676CD" w:rsidP="00E26F37">
            <w:r>
              <w:t>Prepare a</w:t>
            </w:r>
            <w:r w:rsidR="00174BED">
              <w:t xml:space="preserve">gar dilution </w:t>
            </w:r>
            <w:r>
              <w:t>plates</w:t>
            </w:r>
          </w:p>
          <w:p w14:paraId="4360AEAD" w14:textId="2C179FB7" w:rsidR="00174BED" w:rsidRDefault="009676CD" w:rsidP="00E26F37">
            <w:r>
              <w:t>Tester strain swab streaking</w:t>
            </w:r>
          </w:p>
          <w:p w14:paraId="6EE6FDFB" w14:textId="125139A9" w:rsidR="00174BED" w:rsidRDefault="009676CD" w:rsidP="00E26F37">
            <w:r>
              <w:t>B</w:t>
            </w:r>
            <w:r w:rsidR="00174BED">
              <w:t>roth dilution testing</w:t>
            </w:r>
          </w:p>
        </w:tc>
      </w:tr>
      <w:tr w:rsidR="00174BED" w14:paraId="577664FB" w14:textId="77777777" w:rsidTr="00174BED">
        <w:trPr>
          <w:trHeight w:val="825"/>
        </w:trPr>
        <w:tc>
          <w:tcPr>
            <w:tcW w:w="2875" w:type="dxa"/>
            <w:vMerge/>
          </w:tcPr>
          <w:p w14:paraId="24B14BF7" w14:textId="77777777" w:rsidR="00174BED" w:rsidRDefault="00174BED" w:rsidP="00E26F37"/>
        </w:tc>
        <w:tc>
          <w:tcPr>
            <w:tcW w:w="3358" w:type="dxa"/>
            <w:vMerge/>
          </w:tcPr>
          <w:p w14:paraId="40BC0B1D" w14:textId="77777777" w:rsidR="00174BED" w:rsidRDefault="00174BED" w:rsidP="00E26F37">
            <w:pPr>
              <w:pStyle w:val="ListBullet"/>
            </w:pPr>
          </w:p>
        </w:tc>
        <w:tc>
          <w:tcPr>
            <w:tcW w:w="3117" w:type="dxa"/>
          </w:tcPr>
          <w:p w14:paraId="7C44711D" w14:textId="77777777" w:rsidR="00174BED" w:rsidRDefault="003E540C" w:rsidP="003E540C">
            <w:pPr>
              <w:pStyle w:val="ListBullet"/>
            </w:pPr>
            <w:r>
              <w:t>Lab 1</w:t>
            </w:r>
            <w:r w:rsidR="00DC1329">
              <w:t>8</w:t>
            </w:r>
          </w:p>
          <w:p w14:paraId="00508E7B" w14:textId="77777777" w:rsidR="009676CD" w:rsidRDefault="009676CD" w:rsidP="009676CD">
            <w:pPr>
              <w:pStyle w:val="ListBullet"/>
              <w:numPr>
                <w:ilvl w:val="0"/>
                <w:numId w:val="0"/>
              </w:numPr>
              <w:ind w:left="360" w:hanging="360"/>
            </w:pPr>
            <w:r>
              <w:t>Find agar MIC</w:t>
            </w:r>
          </w:p>
          <w:p w14:paraId="09031CD9" w14:textId="135C71B7" w:rsidR="009676CD" w:rsidRDefault="009676CD" w:rsidP="009676CD">
            <w:pPr>
              <w:pStyle w:val="ListBullet"/>
              <w:numPr>
                <w:ilvl w:val="0"/>
                <w:numId w:val="0"/>
              </w:numPr>
              <w:ind w:left="360" w:hanging="360"/>
            </w:pPr>
            <w:r>
              <w:t>Find broth MIC</w:t>
            </w:r>
          </w:p>
        </w:tc>
      </w:tr>
      <w:tr w:rsidR="00174BED" w14:paraId="650A051E" w14:textId="77777777" w:rsidTr="00174BED">
        <w:trPr>
          <w:trHeight w:val="953"/>
        </w:trPr>
        <w:tc>
          <w:tcPr>
            <w:tcW w:w="2875" w:type="dxa"/>
            <w:vMerge w:val="restart"/>
          </w:tcPr>
          <w:p w14:paraId="28AE4A6D" w14:textId="15F2391E" w:rsidR="00174BED" w:rsidRDefault="00174BED" w:rsidP="00E26F37">
            <w:r>
              <w:t>Week 12</w:t>
            </w:r>
            <w:r>
              <w:br/>
              <w:t>(Apr 7, 9)</w:t>
            </w:r>
          </w:p>
        </w:tc>
        <w:tc>
          <w:tcPr>
            <w:tcW w:w="3358" w:type="dxa"/>
            <w:vMerge w:val="restart"/>
          </w:tcPr>
          <w:p w14:paraId="38B722BA" w14:textId="77777777" w:rsidR="00174BED" w:rsidRDefault="00174BED" w:rsidP="00E26F37">
            <w:pPr>
              <w:pStyle w:val="ListBullet"/>
            </w:pPr>
            <w:r>
              <w:t>Microbiomes and metagenomes</w:t>
            </w:r>
          </w:p>
          <w:p w14:paraId="6548C0C4" w14:textId="77777777" w:rsidR="00174BED" w:rsidRDefault="00174BED" w:rsidP="0010587A">
            <w:pPr>
              <w:pStyle w:val="ListBullet"/>
            </w:pPr>
            <w:r>
              <w:t>Functional metagenomic selections</w:t>
            </w:r>
          </w:p>
          <w:p w14:paraId="416A06F2" w14:textId="53843F1E" w:rsidR="009676CD" w:rsidRDefault="009676CD" w:rsidP="0010587A">
            <w:pPr>
              <w:pStyle w:val="ListBullet"/>
            </w:pPr>
            <w:r>
              <w:t>Plasmids and minipreps</w:t>
            </w:r>
          </w:p>
        </w:tc>
        <w:tc>
          <w:tcPr>
            <w:tcW w:w="3117" w:type="dxa"/>
          </w:tcPr>
          <w:p w14:paraId="3264F876" w14:textId="6497493A" w:rsidR="003E540C" w:rsidRDefault="003E540C" w:rsidP="003E540C">
            <w:pPr>
              <w:pStyle w:val="ListBullet"/>
            </w:pPr>
            <w:r>
              <w:t>Lab 1</w:t>
            </w:r>
            <w:r w:rsidR="00DC1329">
              <w:t>9</w:t>
            </w:r>
          </w:p>
          <w:p w14:paraId="32F357D4" w14:textId="07B6FD85" w:rsidR="00174BED" w:rsidRDefault="009676CD" w:rsidP="003E540C">
            <w:pPr>
              <w:pStyle w:val="ListBullet"/>
              <w:numPr>
                <w:ilvl w:val="0"/>
                <w:numId w:val="0"/>
              </w:numPr>
            </w:pPr>
            <w:r>
              <w:t>Choose antibiotics</w:t>
            </w:r>
          </w:p>
          <w:p w14:paraId="3B5B1D26" w14:textId="551B7F20" w:rsidR="009676CD" w:rsidRDefault="009676CD" w:rsidP="003E540C">
            <w:pPr>
              <w:pStyle w:val="ListBullet"/>
              <w:numPr>
                <w:ilvl w:val="0"/>
                <w:numId w:val="0"/>
              </w:numPr>
            </w:pPr>
            <w:r>
              <w:t>Prepare 2x MIC agar plates</w:t>
            </w:r>
          </w:p>
          <w:p w14:paraId="4699ACCB" w14:textId="77777777" w:rsidR="009676CD" w:rsidRDefault="009676CD" w:rsidP="009676CD">
            <w:pPr>
              <w:pStyle w:val="ListBullet"/>
              <w:numPr>
                <w:ilvl w:val="0"/>
                <w:numId w:val="0"/>
              </w:numPr>
            </w:pPr>
            <w:r>
              <w:t>Choose a functional metagenomic library</w:t>
            </w:r>
          </w:p>
          <w:p w14:paraId="1B995978" w14:textId="5BA7173D" w:rsidR="00174BED" w:rsidRDefault="009676CD" w:rsidP="009676CD">
            <w:pPr>
              <w:pStyle w:val="ListBullet"/>
              <w:numPr>
                <w:ilvl w:val="0"/>
                <w:numId w:val="0"/>
              </w:numPr>
            </w:pPr>
            <w:r>
              <w:t>Plate libraries</w:t>
            </w:r>
          </w:p>
        </w:tc>
      </w:tr>
      <w:tr w:rsidR="00174BED" w14:paraId="029E0892" w14:textId="77777777" w:rsidTr="00174BED">
        <w:trPr>
          <w:trHeight w:val="952"/>
        </w:trPr>
        <w:tc>
          <w:tcPr>
            <w:tcW w:w="2875" w:type="dxa"/>
            <w:vMerge/>
          </w:tcPr>
          <w:p w14:paraId="65280EC1" w14:textId="77777777" w:rsidR="00174BED" w:rsidRDefault="00174BED" w:rsidP="00E26F37"/>
        </w:tc>
        <w:tc>
          <w:tcPr>
            <w:tcW w:w="3358" w:type="dxa"/>
            <w:vMerge/>
          </w:tcPr>
          <w:p w14:paraId="4CCB0191" w14:textId="77777777" w:rsidR="00174BED" w:rsidRDefault="00174BED" w:rsidP="00E26F37">
            <w:pPr>
              <w:pStyle w:val="ListBullet"/>
            </w:pPr>
          </w:p>
        </w:tc>
        <w:tc>
          <w:tcPr>
            <w:tcW w:w="3117" w:type="dxa"/>
          </w:tcPr>
          <w:p w14:paraId="340662DA" w14:textId="77777777" w:rsidR="00174BED" w:rsidRDefault="003E540C" w:rsidP="003E540C">
            <w:pPr>
              <w:pStyle w:val="ListBullet"/>
            </w:pPr>
            <w:r>
              <w:t xml:space="preserve">Lab </w:t>
            </w:r>
            <w:r w:rsidR="00DC1329">
              <w:t>20</w:t>
            </w:r>
          </w:p>
          <w:p w14:paraId="267BE085" w14:textId="77777777" w:rsidR="009676CD" w:rsidRDefault="009676CD" w:rsidP="009676CD">
            <w:pPr>
              <w:pStyle w:val="ListBullet"/>
              <w:numPr>
                <w:ilvl w:val="0"/>
                <w:numId w:val="0"/>
              </w:numPr>
              <w:ind w:left="360" w:hanging="360"/>
            </w:pPr>
            <w:r>
              <w:t>Count resistant colonies</w:t>
            </w:r>
          </w:p>
          <w:p w14:paraId="5587D78D" w14:textId="41FC3915" w:rsidR="009676CD" w:rsidRDefault="009676CD" w:rsidP="009676CD">
            <w:pPr>
              <w:pStyle w:val="ListBullet"/>
              <w:numPr>
                <w:ilvl w:val="0"/>
                <w:numId w:val="0"/>
              </w:numPr>
              <w:ind w:left="360" w:hanging="360"/>
            </w:pPr>
            <w:r>
              <w:t>Re-streak 8 colonies</w:t>
            </w:r>
          </w:p>
          <w:p w14:paraId="6A93B908" w14:textId="6F882888" w:rsidR="009676CD" w:rsidRDefault="009676CD" w:rsidP="009676CD">
            <w:pPr>
              <w:pStyle w:val="ListBullet"/>
              <w:numPr>
                <w:ilvl w:val="0"/>
                <w:numId w:val="0"/>
              </w:numPr>
              <w:ind w:left="360" w:hanging="360"/>
            </w:pPr>
            <w:r>
              <w:t>Slurry plates</w:t>
            </w:r>
          </w:p>
          <w:p w14:paraId="2307F065" w14:textId="24500025" w:rsidR="009676CD" w:rsidRDefault="009676CD" w:rsidP="009676CD">
            <w:pPr>
              <w:pStyle w:val="ListBullet"/>
              <w:numPr>
                <w:ilvl w:val="0"/>
                <w:numId w:val="0"/>
              </w:numPr>
              <w:ind w:left="360" w:hanging="360"/>
            </w:pPr>
            <w:r>
              <w:t>Miniprep</w:t>
            </w:r>
          </w:p>
        </w:tc>
      </w:tr>
      <w:tr w:rsidR="00174BED" w14:paraId="5608F617" w14:textId="77777777" w:rsidTr="00174BED">
        <w:trPr>
          <w:trHeight w:val="743"/>
        </w:trPr>
        <w:tc>
          <w:tcPr>
            <w:tcW w:w="2875" w:type="dxa"/>
            <w:vMerge w:val="restart"/>
          </w:tcPr>
          <w:p w14:paraId="1C1D4CAA" w14:textId="28820584" w:rsidR="00174BED" w:rsidRDefault="00174BED" w:rsidP="00E26F37">
            <w:r>
              <w:t>Week 13</w:t>
            </w:r>
            <w:r>
              <w:br/>
              <w:t>(Apr 14, 16)</w:t>
            </w:r>
          </w:p>
        </w:tc>
        <w:tc>
          <w:tcPr>
            <w:tcW w:w="3358" w:type="dxa"/>
            <w:vMerge w:val="restart"/>
          </w:tcPr>
          <w:p w14:paraId="1781CACD" w14:textId="77777777" w:rsidR="00174BED" w:rsidRDefault="009676CD" w:rsidP="00E26F37">
            <w:pPr>
              <w:pStyle w:val="ListBullet"/>
            </w:pPr>
            <w:r>
              <w:t>Resistance testing</w:t>
            </w:r>
          </w:p>
          <w:p w14:paraId="2B12C45D" w14:textId="7205A3C2" w:rsidR="009676CD" w:rsidRDefault="009676CD" w:rsidP="00E26F37">
            <w:pPr>
              <w:pStyle w:val="ListBullet"/>
            </w:pPr>
            <w:r>
              <w:t>Plasmid sequencing</w:t>
            </w:r>
          </w:p>
        </w:tc>
        <w:tc>
          <w:tcPr>
            <w:tcW w:w="3117" w:type="dxa"/>
          </w:tcPr>
          <w:p w14:paraId="31340A08" w14:textId="22ED5C10" w:rsidR="003E540C" w:rsidRDefault="003E540C" w:rsidP="003E540C">
            <w:pPr>
              <w:pStyle w:val="ListBullet"/>
            </w:pPr>
            <w:r>
              <w:t>Lab 2</w:t>
            </w:r>
            <w:r w:rsidR="00DC1329">
              <w:t>1</w:t>
            </w:r>
          </w:p>
          <w:p w14:paraId="1A041C20" w14:textId="17F8F31F" w:rsidR="00174BED" w:rsidRDefault="009676CD" w:rsidP="009676CD">
            <w:r>
              <w:t>Prepare agar dilution plates</w:t>
            </w:r>
          </w:p>
          <w:p w14:paraId="0A03FCE1" w14:textId="1D662D43" w:rsidR="009676CD" w:rsidRDefault="009676CD" w:rsidP="009676CD">
            <w:r>
              <w:t>Plate 8 resistant unknowns to find MIC</w:t>
            </w:r>
          </w:p>
        </w:tc>
      </w:tr>
      <w:tr w:rsidR="00174BED" w14:paraId="70315B05" w14:textId="77777777" w:rsidTr="00174BED">
        <w:trPr>
          <w:trHeight w:val="742"/>
        </w:trPr>
        <w:tc>
          <w:tcPr>
            <w:tcW w:w="2875" w:type="dxa"/>
            <w:vMerge/>
          </w:tcPr>
          <w:p w14:paraId="75BAB34B" w14:textId="77777777" w:rsidR="00174BED" w:rsidRDefault="00174BED" w:rsidP="00E26F37"/>
        </w:tc>
        <w:tc>
          <w:tcPr>
            <w:tcW w:w="3358" w:type="dxa"/>
            <w:vMerge/>
          </w:tcPr>
          <w:p w14:paraId="167D3AD3" w14:textId="77777777" w:rsidR="00174BED" w:rsidRDefault="00174BED" w:rsidP="00E26F37">
            <w:pPr>
              <w:pStyle w:val="ListBullet"/>
            </w:pPr>
          </w:p>
        </w:tc>
        <w:tc>
          <w:tcPr>
            <w:tcW w:w="3117" w:type="dxa"/>
          </w:tcPr>
          <w:p w14:paraId="24C27CB7" w14:textId="77777777" w:rsidR="00174BED" w:rsidRDefault="003E540C" w:rsidP="003E540C">
            <w:pPr>
              <w:pStyle w:val="ListBullet"/>
            </w:pPr>
            <w:r>
              <w:t>Lab 2</w:t>
            </w:r>
            <w:r w:rsidR="00DC1329">
              <w:t>2</w:t>
            </w:r>
          </w:p>
          <w:p w14:paraId="12B7FAB7" w14:textId="2628602A" w:rsidR="009676CD" w:rsidRDefault="009676CD" w:rsidP="009676CD">
            <w:pPr>
              <w:pStyle w:val="ListBullet"/>
              <w:numPr>
                <w:ilvl w:val="0"/>
                <w:numId w:val="0"/>
              </w:numPr>
              <w:ind w:left="360" w:hanging="360"/>
            </w:pPr>
            <w:r>
              <w:t>Find MICs</w:t>
            </w:r>
          </w:p>
          <w:p w14:paraId="28F1B17A" w14:textId="5EEF9FBC" w:rsidR="009676CD" w:rsidRDefault="009676CD" w:rsidP="009676CD">
            <w:pPr>
              <w:pStyle w:val="ListBullet"/>
              <w:numPr>
                <w:ilvl w:val="0"/>
                <w:numId w:val="0"/>
              </w:numPr>
              <w:ind w:left="360" w:hanging="360"/>
            </w:pPr>
            <w:r>
              <w:t>Prepare permanent stocks</w:t>
            </w:r>
          </w:p>
          <w:p w14:paraId="5D46622E" w14:textId="470EA6E6" w:rsidR="009676CD" w:rsidRDefault="009676CD" w:rsidP="009676CD">
            <w:pPr>
              <w:pStyle w:val="ListBullet"/>
              <w:numPr>
                <w:ilvl w:val="0"/>
                <w:numId w:val="0"/>
              </w:numPr>
              <w:ind w:left="360" w:hanging="360"/>
            </w:pPr>
            <w:r>
              <w:t>Submit colony for sequencing</w:t>
            </w:r>
          </w:p>
        </w:tc>
      </w:tr>
      <w:tr w:rsidR="00174BED" w14:paraId="2303099F" w14:textId="77777777" w:rsidTr="00174BED">
        <w:trPr>
          <w:trHeight w:val="623"/>
        </w:trPr>
        <w:tc>
          <w:tcPr>
            <w:tcW w:w="2875" w:type="dxa"/>
            <w:vMerge w:val="restart"/>
          </w:tcPr>
          <w:p w14:paraId="325721B7" w14:textId="245BC39A" w:rsidR="00174BED" w:rsidRDefault="00174BED" w:rsidP="00E26F37">
            <w:r>
              <w:lastRenderedPageBreak/>
              <w:t>Week 14</w:t>
            </w:r>
            <w:r>
              <w:br/>
              <w:t>(Apr 21, 23)</w:t>
            </w:r>
          </w:p>
        </w:tc>
        <w:tc>
          <w:tcPr>
            <w:tcW w:w="3358" w:type="dxa"/>
            <w:vMerge w:val="restart"/>
          </w:tcPr>
          <w:p w14:paraId="00A0DB46" w14:textId="100C75DC" w:rsidR="003921BF" w:rsidRDefault="00F61CAF" w:rsidP="003921BF">
            <w:pPr>
              <w:pStyle w:val="ListBullet"/>
            </w:pPr>
            <w:r>
              <w:t>Sequence a</w:t>
            </w:r>
            <w:r w:rsidR="003921BF">
              <w:t>lignments</w:t>
            </w:r>
          </w:p>
          <w:p w14:paraId="086D5FD7" w14:textId="0E05DDF1" w:rsidR="00174BED" w:rsidRDefault="00174BED" w:rsidP="00E26F37">
            <w:pPr>
              <w:pStyle w:val="ListBullet"/>
            </w:pPr>
            <w:r>
              <w:t>BLAST</w:t>
            </w:r>
            <w:r w:rsidR="00F61CAF">
              <w:t xml:space="preserve"> </w:t>
            </w:r>
            <w:r w:rsidR="003921BF">
              <w:t>suite</w:t>
            </w:r>
          </w:p>
          <w:p w14:paraId="4EE46CE0" w14:textId="77777777" w:rsidR="003921BF" w:rsidRDefault="003921BF" w:rsidP="00E26F37">
            <w:pPr>
              <w:pStyle w:val="ListBullet"/>
            </w:pPr>
            <w:r>
              <w:t>Open reading frames</w:t>
            </w:r>
          </w:p>
          <w:p w14:paraId="53B52858" w14:textId="5B510ED0" w:rsidR="003921BF" w:rsidRDefault="003921BF" w:rsidP="00E26F37">
            <w:pPr>
              <w:pStyle w:val="ListBullet"/>
            </w:pPr>
            <w:r>
              <w:t>Function prediction</w:t>
            </w:r>
          </w:p>
        </w:tc>
        <w:tc>
          <w:tcPr>
            <w:tcW w:w="3117" w:type="dxa"/>
          </w:tcPr>
          <w:p w14:paraId="48E11FDC" w14:textId="7113D51F" w:rsidR="003E540C" w:rsidRDefault="003E540C" w:rsidP="003E540C">
            <w:pPr>
              <w:pStyle w:val="ListBullet"/>
            </w:pPr>
            <w:r>
              <w:t>Lab 2</w:t>
            </w:r>
            <w:r w:rsidR="00DC1329">
              <w:t>3</w:t>
            </w:r>
          </w:p>
          <w:p w14:paraId="10B3B252" w14:textId="77777777" w:rsidR="003921BF" w:rsidRDefault="003921BF" w:rsidP="00E26F37">
            <w:r>
              <w:t>Find metagenomic DNA fragments in ApE</w:t>
            </w:r>
          </w:p>
          <w:p w14:paraId="4ACF976A" w14:textId="77777777" w:rsidR="003921BF" w:rsidRDefault="003921BF" w:rsidP="00E26F37">
            <w:r>
              <w:t>Call open reading frames in Bakta or MetaGeneMark</w:t>
            </w:r>
          </w:p>
          <w:p w14:paraId="00A8A399" w14:textId="77777777" w:rsidR="003921BF" w:rsidRDefault="003921BF" w:rsidP="00E26F37">
            <w:r>
              <w:t>Search for known resistance genes with CARD</w:t>
            </w:r>
          </w:p>
          <w:p w14:paraId="67D9A104" w14:textId="4D7FB3EE" w:rsidR="00174BED" w:rsidRDefault="003921BF" w:rsidP="00E26F37">
            <w:r>
              <w:t>Predict functions with blastx and blastp</w:t>
            </w:r>
          </w:p>
        </w:tc>
      </w:tr>
      <w:tr w:rsidR="00174BED" w14:paraId="1681FA7D" w14:textId="77777777" w:rsidTr="00174BED">
        <w:trPr>
          <w:trHeight w:val="622"/>
        </w:trPr>
        <w:tc>
          <w:tcPr>
            <w:tcW w:w="2875" w:type="dxa"/>
            <w:vMerge/>
          </w:tcPr>
          <w:p w14:paraId="2B2C5DBE" w14:textId="77777777" w:rsidR="00174BED" w:rsidRDefault="00174BED" w:rsidP="00E26F37"/>
        </w:tc>
        <w:tc>
          <w:tcPr>
            <w:tcW w:w="3358" w:type="dxa"/>
            <w:vMerge/>
          </w:tcPr>
          <w:p w14:paraId="60151651" w14:textId="77777777" w:rsidR="00174BED" w:rsidRDefault="00174BED" w:rsidP="00E26F37">
            <w:pPr>
              <w:pStyle w:val="ListBullet"/>
            </w:pPr>
          </w:p>
        </w:tc>
        <w:tc>
          <w:tcPr>
            <w:tcW w:w="3117" w:type="dxa"/>
          </w:tcPr>
          <w:p w14:paraId="5FC5D798" w14:textId="77777777" w:rsidR="00174BED" w:rsidRDefault="003E540C" w:rsidP="003E540C">
            <w:pPr>
              <w:pStyle w:val="ListBullet"/>
            </w:pPr>
            <w:r>
              <w:t>Lab 2</w:t>
            </w:r>
            <w:r w:rsidR="00DC1329">
              <w:t>4</w:t>
            </w:r>
          </w:p>
          <w:p w14:paraId="24060887" w14:textId="54A3AB5E" w:rsidR="003921BF" w:rsidRDefault="003921BF" w:rsidP="003921BF">
            <w:pPr>
              <w:pStyle w:val="ListBullet"/>
              <w:numPr>
                <w:ilvl w:val="0"/>
                <w:numId w:val="0"/>
              </w:numPr>
              <w:ind w:left="360" w:hanging="360"/>
            </w:pPr>
            <w:r>
              <w:t>Continue analyses</w:t>
            </w:r>
          </w:p>
        </w:tc>
      </w:tr>
      <w:tr w:rsidR="00174BED" w14:paraId="4AF2750B" w14:textId="77777777" w:rsidTr="00174BED">
        <w:trPr>
          <w:trHeight w:val="743"/>
        </w:trPr>
        <w:tc>
          <w:tcPr>
            <w:tcW w:w="2875" w:type="dxa"/>
            <w:vMerge w:val="restart"/>
          </w:tcPr>
          <w:p w14:paraId="22D12980" w14:textId="784A67BA" w:rsidR="00174BED" w:rsidRDefault="00174BED" w:rsidP="00E26F37">
            <w:r>
              <w:t>Week 15</w:t>
            </w:r>
            <w:r>
              <w:br/>
              <w:t>(Apr 28, 30)</w:t>
            </w:r>
          </w:p>
        </w:tc>
        <w:tc>
          <w:tcPr>
            <w:tcW w:w="3358" w:type="dxa"/>
            <w:vMerge w:val="restart"/>
          </w:tcPr>
          <w:p w14:paraId="5DB6C0ED" w14:textId="503588BF" w:rsidR="003921BF" w:rsidRDefault="003921BF" w:rsidP="00E26F37">
            <w:pPr>
              <w:pStyle w:val="ListBullet"/>
            </w:pPr>
            <w:r>
              <w:t>Scientific reports</w:t>
            </w:r>
          </w:p>
          <w:p w14:paraId="4D31D4C3" w14:textId="2784E2A1" w:rsidR="00174BED" w:rsidRDefault="003921BF" w:rsidP="00E26F37">
            <w:pPr>
              <w:pStyle w:val="ListBullet"/>
            </w:pPr>
            <w:r>
              <w:t>P</w:t>
            </w:r>
            <w:r w:rsidR="00174BED">
              <w:t>ractice</w:t>
            </w:r>
          </w:p>
        </w:tc>
        <w:tc>
          <w:tcPr>
            <w:tcW w:w="3117" w:type="dxa"/>
          </w:tcPr>
          <w:p w14:paraId="0BBC1EB3" w14:textId="0EC79F84" w:rsidR="00174BED" w:rsidRDefault="003921BF" w:rsidP="003921BF">
            <w:pPr>
              <w:pStyle w:val="ListBullet"/>
            </w:pPr>
            <w:r>
              <w:t>Catch-up and practice</w:t>
            </w:r>
          </w:p>
        </w:tc>
      </w:tr>
      <w:tr w:rsidR="00174BED" w14:paraId="20C0741F" w14:textId="77777777" w:rsidTr="00174BED">
        <w:trPr>
          <w:trHeight w:val="742"/>
        </w:trPr>
        <w:tc>
          <w:tcPr>
            <w:tcW w:w="2875" w:type="dxa"/>
            <w:vMerge/>
          </w:tcPr>
          <w:p w14:paraId="30D38683" w14:textId="77777777" w:rsidR="00174BED" w:rsidRDefault="00174BED" w:rsidP="00E26F37"/>
        </w:tc>
        <w:tc>
          <w:tcPr>
            <w:tcW w:w="3358" w:type="dxa"/>
            <w:vMerge/>
          </w:tcPr>
          <w:p w14:paraId="3DDC2DA0" w14:textId="77777777" w:rsidR="00174BED" w:rsidRDefault="00174BED" w:rsidP="00E26F37">
            <w:pPr>
              <w:pStyle w:val="ListBullet"/>
            </w:pPr>
          </w:p>
        </w:tc>
        <w:tc>
          <w:tcPr>
            <w:tcW w:w="3117" w:type="dxa"/>
          </w:tcPr>
          <w:p w14:paraId="42CF2B64" w14:textId="6B295223" w:rsidR="00174BED" w:rsidRDefault="003E540C" w:rsidP="003E540C">
            <w:pPr>
              <w:pStyle w:val="ListBullet"/>
            </w:pPr>
            <w:r>
              <w:t>Catch-up and practice</w:t>
            </w:r>
          </w:p>
        </w:tc>
      </w:tr>
      <w:tr w:rsidR="003606A5" w14:paraId="07BECC58" w14:textId="77777777" w:rsidTr="00711B4E">
        <w:tc>
          <w:tcPr>
            <w:tcW w:w="2875" w:type="dxa"/>
          </w:tcPr>
          <w:p w14:paraId="1895BB55" w14:textId="53C53366" w:rsidR="003606A5" w:rsidRDefault="003606A5" w:rsidP="00E26F37">
            <w:r>
              <w:t>Week 16</w:t>
            </w:r>
            <w:r>
              <w:br/>
              <w:t>(May 5)</w:t>
            </w:r>
          </w:p>
        </w:tc>
        <w:tc>
          <w:tcPr>
            <w:tcW w:w="3358" w:type="dxa"/>
          </w:tcPr>
          <w:p w14:paraId="434064D3" w14:textId="4AB3D6A9" w:rsidR="003606A5" w:rsidRDefault="003606A5" w:rsidP="00E26F37">
            <w:pPr>
              <w:pStyle w:val="ListBullet"/>
            </w:pPr>
            <w:r>
              <w:t>May 5 Second practical exam</w:t>
            </w:r>
          </w:p>
        </w:tc>
        <w:tc>
          <w:tcPr>
            <w:tcW w:w="3117" w:type="dxa"/>
          </w:tcPr>
          <w:p w14:paraId="1868CE4B" w14:textId="38539B40" w:rsidR="003606A5" w:rsidRDefault="003E540C" w:rsidP="003E540C">
            <w:pPr>
              <w:pStyle w:val="ListBullet"/>
            </w:pPr>
            <w:r>
              <w:t>Lab practical exam</w:t>
            </w:r>
          </w:p>
        </w:tc>
      </w:tr>
      <w:tr w:rsidR="00BE277B" w14:paraId="2C430B4B" w14:textId="77777777" w:rsidTr="00711B4E">
        <w:tc>
          <w:tcPr>
            <w:tcW w:w="2875" w:type="dxa"/>
          </w:tcPr>
          <w:p w14:paraId="47FD2F85" w14:textId="186F0E86" w:rsidR="00BE277B" w:rsidRDefault="00BE277B" w:rsidP="00E26F37">
            <w:r>
              <w:t>Week 17</w:t>
            </w:r>
            <w:r>
              <w:br/>
              <w:t>(May 14)</w:t>
            </w:r>
          </w:p>
        </w:tc>
        <w:tc>
          <w:tcPr>
            <w:tcW w:w="3358" w:type="dxa"/>
          </w:tcPr>
          <w:p w14:paraId="5714EE56" w14:textId="1113A405" w:rsidR="00BE277B" w:rsidRDefault="00BE277B" w:rsidP="00E26F37">
            <w:pPr>
              <w:pStyle w:val="ListBullet"/>
            </w:pPr>
            <w:r>
              <w:t>May 14 Final report due</w:t>
            </w:r>
          </w:p>
        </w:tc>
        <w:tc>
          <w:tcPr>
            <w:tcW w:w="3117" w:type="dxa"/>
          </w:tcPr>
          <w:p w14:paraId="59083E18" w14:textId="3720BE9A" w:rsidR="00BE277B" w:rsidRDefault="003E540C" w:rsidP="003E540C">
            <w:pPr>
              <w:pStyle w:val="ListBullet"/>
            </w:pPr>
            <w:r>
              <w:t>No lab this week</w:t>
            </w:r>
          </w:p>
        </w:tc>
      </w:tr>
    </w:tbl>
    <w:p w14:paraId="23775776" w14:textId="644AD5A0" w:rsidR="001F5ACA" w:rsidRPr="000C3B46" w:rsidRDefault="001F5ACA" w:rsidP="00BE277B"/>
    <w:sectPr w:rsidR="001F5ACA" w:rsidRPr="000C3B46" w:rsidSect="00940D58">
      <w:headerReference w:type="default" r:id="rId32"/>
      <w:footerReference w:type="even" r:id="rId33"/>
      <w:footerReference w:type="default" r:id="rId34"/>
      <w:footerReference w:type="first" r:id="rId35"/>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7B14" w14:textId="77777777" w:rsidR="00CD35AF" w:rsidRDefault="00CD35AF" w:rsidP="000A2409">
      <w:r>
        <w:separator/>
      </w:r>
    </w:p>
  </w:endnote>
  <w:endnote w:type="continuationSeparator" w:id="0">
    <w:p w14:paraId="54E14DB3" w14:textId="77777777" w:rsidR="00CD35AF" w:rsidRDefault="00CD35AF"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03F5B1FE"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A03F1"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rPr>
      <w:id w:val="-341706704"/>
      <w:docPartObj>
        <w:docPartGallery w:val="Page Numbers (Bottom of Page)"/>
        <w:docPartUnique/>
      </w:docPartObj>
    </w:sdtPr>
    <w:sdtEndPr>
      <w:rPr>
        <w:noProof/>
      </w:rPr>
    </w:sdtEndPr>
    <w:sdtContent>
      <w:p w14:paraId="7A7083F6" w14:textId="47D29CAC" w:rsidR="00940D58" w:rsidRPr="00940D58" w:rsidRDefault="00940D58">
        <w:pPr>
          <w:pStyle w:val="Footer"/>
          <w:jc w:val="center"/>
          <w:rPr>
            <w:rFonts w:cs="Arial"/>
            <w:b w:val="0"/>
            <w:bCs/>
          </w:rPr>
        </w:pPr>
        <w:r w:rsidRPr="00940D58">
          <w:rPr>
            <w:rFonts w:cs="Arial"/>
            <w:b w:val="0"/>
            <w:bCs/>
            <w:sz w:val="24"/>
            <w:szCs w:val="32"/>
          </w:rPr>
          <w:fldChar w:fldCharType="begin"/>
        </w:r>
        <w:r w:rsidRPr="00940D58">
          <w:rPr>
            <w:rFonts w:cs="Arial"/>
            <w:b w:val="0"/>
            <w:bCs/>
            <w:sz w:val="24"/>
            <w:szCs w:val="32"/>
          </w:rPr>
          <w:instrText xml:space="preserve"> PAGE   \* MERGEFORMAT </w:instrText>
        </w:r>
        <w:r w:rsidRPr="00940D58">
          <w:rPr>
            <w:rFonts w:cs="Arial"/>
            <w:b w:val="0"/>
            <w:bCs/>
            <w:sz w:val="24"/>
            <w:szCs w:val="32"/>
          </w:rPr>
          <w:fldChar w:fldCharType="separate"/>
        </w:r>
        <w:r w:rsidRPr="00940D58">
          <w:rPr>
            <w:rFonts w:cs="Arial"/>
            <w:b w:val="0"/>
            <w:bCs/>
            <w:noProof/>
            <w:sz w:val="24"/>
            <w:szCs w:val="32"/>
          </w:rPr>
          <w:t>2</w:t>
        </w:r>
        <w:r w:rsidRPr="00940D58">
          <w:rPr>
            <w:rFonts w:cs="Arial"/>
            <w:b w:val="0"/>
            <w:bCs/>
            <w:noProof/>
            <w:sz w:val="24"/>
            <w:szCs w:val="32"/>
          </w:rPr>
          <w:fldChar w:fldCharType="end"/>
        </w:r>
      </w:p>
    </w:sdtContent>
  </w:sdt>
  <w:p w14:paraId="3780B852" w14:textId="4D4C7D8F" w:rsidR="007A151F" w:rsidRPr="00940D58" w:rsidRDefault="007A151F" w:rsidP="00940D58">
    <w:pPr>
      <w:pStyle w:val="Footer"/>
      <w:tabs>
        <w:tab w:val="clear" w:pos="4680"/>
        <w:tab w:val="clear" w:pos="9360"/>
        <w:tab w:val="left" w:pos="3916"/>
      </w:tabs>
      <w:rPr>
        <w:rFonts w:cs="Arial"/>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96" w14:textId="47FAD867" w:rsidR="00FE4C4B" w:rsidRPr="007A151F" w:rsidRDefault="00FE4C4B" w:rsidP="00667574">
    <w:pPr>
      <w:pStyle w:val="Footer"/>
      <w:tabs>
        <w:tab w:val="clear" w:pos="4680"/>
        <w:tab w:val="clear" w:pos="9360"/>
        <w:tab w:val="left" w:pos="3916"/>
      </w:tabs>
      <w:ind w:left="-14"/>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3DB3" w14:textId="77777777" w:rsidR="00CD35AF" w:rsidRDefault="00CD35AF" w:rsidP="000A2409">
      <w:r>
        <w:separator/>
      </w:r>
    </w:p>
  </w:footnote>
  <w:footnote w:type="continuationSeparator" w:id="0">
    <w:p w14:paraId="78466197" w14:textId="77777777" w:rsidR="00CD35AF" w:rsidRDefault="00CD35AF"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6F52" w14:textId="2A52478D" w:rsidR="00F9487D" w:rsidRDefault="00F9487D" w:rsidP="001E7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5EF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95FBEB"/>
    <w:multiLevelType w:val="hybridMultilevel"/>
    <w:tmpl w:val="922C04F6"/>
    <w:lvl w:ilvl="0" w:tplc="CCB489E0">
      <w:start w:val="1"/>
      <w:numFmt w:val="bullet"/>
      <w:lvlText w:val=""/>
      <w:lvlJc w:val="left"/>
      <w:pPr>
        <w:ind w:left="1325" w:hanging="360"/>
      </w:pPr>
      <w:rPr>
        <w:rFonts w:ascii="Symbol" w:hAnsi="Symbol" w:hint="default"/>
      </w:rPr>
    </w:lvl>
    <w:lvl w:ilvl="1" w:tplc="FADC87F4">
      <w:start w:val="1"/>
      <w:numFmt w:val="bullet"/>
      <w:lvlText w:val="o"/>
      <w:lvlJc w:val="left"/>
      <w:pPr>
        <w:ind w:left="2045" w:hanging="360"/>
      </w:pPr>
      <w:rPr>
        <w:rFonts w:ascii="Courier New" w:hAnsi="Courier New" w:hint="default"/>
      </w:rPr>
    </w:lvl>
    <w:lvl w:ilvl="2" w:tplc="38B4E3E2">
      <w:start w:val="1"/>
      <w:numFmt w:val="bullet"/>
      <w:lvlText w:val=""/>
      <w:lvlJc w:val="left"/>
      <w:pPr>
        <w:ind w:left="2765" w:hanging="360"/>
      </w:pPr>
      <w:rPr>
        <w:rFonts w:ascii="Wingdings" w:hAnsi="Wingdings" w:hint="default"/>
      </w:rPr>
    </w:lvl>
    <w:lvl w:ilvl="3" w:tplc="092E9BE6">
      <w:start w:val="1"/>
      <w:numFmt w:val="bullet"/>
      <w:lvlText w:val=""/>
      <w:lvlJc w:val="left"/>
      <w:pPr>
        <w:ind w:left="3485" w:hanging="360"/>
      </w:pPr>
      <w:rPr>
        <w:rFonts w:ascii="Symbol" w:hAnsi="Symbol" w:hint="default"/>
      </w:rPr>
    </w:lvl>
    <w:lvl w:ilvl="4" w:tplc="6338D874">
      <w:start w:val="1"/>
      <w:numFmt w:val="bullet"/>
      <w:lvlText w:val="o"/>
      <w:lvlJc w:val="left"/>
      <w:pPr>
        <w:ind w:left="4205" w:hanging="360"/>
      </w:pPr>
      <w:rPr>
        <w:rFonts w:ascii="Courier New" w:hAnsi="Courier New" w:hint="default"/>
      </w:rPr>
    </w:lvl>
    <w:lvl w:ilvl="5" w:tplc="5ECA0340">
      <w:start w:val="1"/>
      <w:numFmt w:val="bullet"/>
      <w:lvlText w:val=""/>
      <w:lvlJc w:val="left"/>
      <w:pPr>
        <w:ind w:left="4925" w:hanging="360"/>
      </w:pPr>
      <w:rPr>
        <w:rFonts w:ascii="Wingdings" w:hAnsi="Wingdings" w:hint="default"/>
      </w:rPr>
    </w:lvl>
    <w:lvl w:ilvl="6" w:tplc="28081636">
      <w:start w:val="1"/>
      <w:numFmt w:val="bullet"/>
      <w:lvlText w:val=""/>
      <w:lvlJc w:val="left"/>
      <w:pPr>
        <w:ind w:left="5645" w:hanging="360"/>
      </w:pPr>
      <w:rPr>
        <w:rFonts w:ascii="Symbol" w:hAnsi="Symbol" w:hint="default"/>
      </w:rPr>
    </w:lvl>
    <w:lvl w:ilvl="7" w:tplc="7A045576">
      <w:start w:val="1"/>
      <w:numFmt w:val="bullet"/>
      <w:lvlText w:val="o"/>
      <w:lvlJc w:val="left"/>
      <w:pPr>
        <w:ind w:left="6365" w:hanging="360"/>
      </w:pPr>
      <w:rPr>
        <w:rFonts w:ascii="Courier New" w:hAnsi="Courier New" w:hint="default"/>
      </w:rPr>
    </w:lvl>
    <w:lvl w:ilvl="8" w:tplc="E3748242">
      <w:start w:val="1"/>
      <w:numFmt w:val="bullet"/>
      <w:lvlText w:val=""/>
      <w:lvlJc w:val="left"/>
      <w:pPr>
        <w:ind w:left="7085" w:hanging="360"/>
      </w:pPr>
      <w:rPr>
        <w:rFonts w:ascii="Wingdings" w:hAnsi="Wingdings" w:hint="default"/>
      </w:rPr>
    </w:lvl>
  </w:abstractNum>
  <w:abstractNum w:abstractNumId="2" w15:restartNumberingAfterBreak="0">
    <w:nsid w:val="279706BE"/>
    <w:multiLevelType w:val="hybridMultilevel"/>
    <w:tmpl w:val="CB2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51242"/>
    <w:multiLevelType w:val="hybridMultilevel"/>
    <w:tmpl w:val="2EC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74B9F"/>
    <w:multiLevelType w:val="hybridMultilevel"/>
    <w:tmpl w:val="0B2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84EFB"/>
    <w:multiLevelType w:val="hybridMultilevel"/>
    <w:tmpl w:val="24C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27E53"/>
    <w:multiLevelType w:val="hybridMultilevel"/>
    <w:tmpl w:val="F7E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949FF"/>
    <w:multiLevelType w:val="hybridMultilevel"/>
    <w:tmpl w:val="087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515C8"/>
    <w:multiLevelType w:val="hybridMultilevel"/>
    <w:tmpl w:val="8EE0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773D9"/>
    <w:multiLevelType w:val="hybridMultilevel"/>
    <w:tmpl w:val="2F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A7435"/>
    <w:multiLevelType w:val="hybridMultilevel"/>
    <w:tmpl w:val="AB5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793999">
    <w:abstractNumId w:val="1"/>
  </w:num>
  <w:num w:numId="2" w16cid:durableId="268588255">
    <w:abstractNumId w:val="3"/>
  </w:num>
  <w:num w:numId="3" w16cid:durableId="865948300">
    <w:abstractNumId w:val="11"/>
  </w:num>
  <w:num w:numId="4" w16cid:durableId="981616765">
    <w:abstractNumId w:val="2"/>
  </w:num>
  <w:num w:numId="5" w16cid:durableId="1652252195">
    <w:abstractNumId w:val="5"/>
  </w:num>
  <w:num w:numId="6" w16cid:durableId="39325752">
    <w:abstractNumId w:val="10"/>
  </w:num>
  <w:num w:numId="7" w16cid:durableId="488013706">
    <w:abstractNumId w:val="0"/>
  </w:num>
  <w:num w:numId="8" w16cid:durableId="827328554">
    <w:abstractNumId w:val="8"/>
  </w:num>
  <w:num w:numId="9" w16cid:durableId="2010866916">
    <w:abstractNumId w:val="7"/>
  </w:num>
  <w:num w:numId="10" w16cid:durableId="924876482">
    <w:abstractNumId w:val="6"/>
  </w:num>
  <w:num w:numId="11" w16cid:durableId="2129737827">
    <w:abstractNumId w:val="9"/>
  </w:num>
  <w:num w:numId="12" w16cid:durableId="98836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B"/>
    <w:rsid w:val="00003485"/>
    <w:rsid w:val="000057D5"/>
    <w:rsid w:val="00010282"/>
    <w:rsid w:val="0001440D"/>
    <w:rsid w:val="00020B5B"/>
    <w:rsid w:val="000377F9"/>
    <w:rsid w:val="00046579"/>
    <w:rsid w:val="00063945"/>
    <w:rsid w:val="00093E5A"/>
    <w:rsid w:val="00093FFA"/>
    <w:rsid w:val="000A2409"/>
    <w:rsid w:val="000A5DE1"/>
    <w:rsid w:val="000B574C"/>
    <w:rsid w:val="000B5C40"/>
    <w:rsid w:val="000C3B46"/>
    <w:rsid w:val="000C4346"/>
    <w:rsid w:val="000D5C65"/>
    <w:rsid w:val="000D7AF6"/>
    <w:rsid w:val="000E3615"/>
    <w:rsid w:val="000E4AE8"/>
    <w:rsid w:val="000E71B7"/>
    <w:rsid w:val="000F7093"/>
    <w:rsid w:val="000F79A6"/>
    <w:rsid w:val="0010587A"/>
    <w:rsid w:val="00113AD9"/>
    <w:rsid w:val="0013206C"/>
    <w:rsid w:val="00166FD9"/>
    <w:rsid w:val="00170251"/>
    <w:rsid w:val="00174BED"/>
    <w:rsid w:val="00191184"/>
    <w:rsid w:val="001C4195"/>
    <w:rsid w:val="001C58D6"/>
    <w:rsid w:val="001C6E66"/>
    <w:rsid w:val="001D3DDB"/>
    <w:rsid w:val="001E725B"/>
    <w:rsid w:val="001F5ACA"/>
    <w:rsid w:val="00204519"/>
    <w:rsid w:val="00215A85"/>
    <w:rsid w:val="0021660A"/>
    <w:rsid w:val="002235BF"/>
    <w:rsid w:val="00245ED8"/>
    <w:rsid w:val="00265670"/>
    <w:rsid w:val="0026659B"/>
    <w:rsid w:val="00267498"/>
    <w:rsid w:val="002703D2"/>
    <w:rsid w:val="00277F27"/>
    <w:rsid w:val="00281CD0"/>
    <w:rsid w:val="002B451B"/>
    <w:rsid w:val="00301036"/>
    <w:rsid w:val="00301EE2"/>
    <w:rsid w:val="003149AA"/>
    <w:rsid w:val="0031567F"/>
    <w:rsid w:val="00320D46"/>
    <w:rsid w:val="0032403C"/>
    <w:rsid w:val="00344A0C"/>
    <w:rsid w:val="00345DD3"/>
    <w:rsid w:val="003606A5"/>
    <w:rsid w:val="00373870"/>
    <w:rsid w:val="003860F6"/>
    <w:rsid w:val="00391B0B"/>
    <w:rsid w:val="003921BF"/>
    <w:rsid w:val="00395020"/>
    <w:rsid w:val="003976BB"/>
    <w:rsid w:val="003A2858"/>
    <w:rsid w:val="003B7076"/>
    <w:rsid w:val="003D623F"/>
    <w:rsid w:val="003E0888"/>
    <w:rsid w:val="003E540C"/>
    <w:rsid w:val="003E7CB3"/>
    <w:rsid w:val="003F4DCB"/>
    <w:rsid w:val="003F626F"/>
    <w:rsid w:val="004369F0"/>
    <w:rsid w:val="00452439"/>
    <w:rsid w:val="004542EE"/>
    <w:rsid w:val="00465331"/>
    <w:rsid w:val="0047530A"/>
    <w:rsid w:val="00484153"/>
    <w:rsid w:val="004911BF"/>
    <w:rsid w:val="004A5F88"/>
    <w:rsid w:val="004B7324"/>
    <w:rsid w:val="004C0C63"/>
    <w:rsid w:val="004D71BB"/>
    <w:rsid w:val="004E2260"/>
    <w:rsid w:val="0052118C"/>
    <w:rsid w:val="005235BB"/>
    <w:rsid w:val="00542CA0"/>
    <w:rsid w:val="0055008F"/>
    <w:rsid w:val="00556CFD"/>
    <w:rsid w:val="00566BA7"/>
    <w:rsid w:val="00573181"/>
    <w:rsid w:val="00577642"/>
    <w:rsid w:val="0058146D"/>
    <w:rsid w:val="00584033"/>
    <w:rsid w:val="005904C9"/>
    <w:rsid w:val="005B1649"/>
    <w:rsid w:val="005B6BCB"/>
    <w:rsid w:val="005C5AE8"/>
    <w:rsid w:val="005D1EB9"/>
    <w:rsid w:val="005D6EA8"/>
    <w:rsid w:val="00600CBD"/>
    <w:rsid w:val="00604831"/>
    <w:rsid w:val="00620BE9"/>
    <w:rsid w:val="00626E9B"/>
    <w:rsid w:val="00630A7E"/>
    <w:rsid w:val="00630C5D"/>
    <w:rsid w:val="00651117"/>
    <w:rsid w:val="00653F39"/>
    <w:rsid w:val="00667574"/>
    <w:rsid w:val="00673355"/>
    <w:rsid w:val="006738AC"/>
    <w:rsid w:val="006775DA"/>
    <w:rsid w:val="00697E92"/>
    <w:rsid w:val="006C04C0"/>
    <w:rsid w:val="006F7F3C"/>
    <w:rsid w:val="00703F32"/>
    <w:rsid w:val="00707E14"/>
    <w:rsid w:val="00707F2D"/>
    <w:rsid w:val="00711B4E"/>
    <w:rsid w:val="00713AA3"/>
    <w:rsid w:val="0072638A"/>
    <w:rsid w:val="00727135"/>
    <w:rsid w:val="007341F8"/>
    <w:rsid w:val="007364BE"/>
    <w:rsid w:val="0073661A"/>
    <w:rsid w:val="007406D6"/>
    <w:rsid w:val="007444BF"/>
    <w:rsid w:val="00762661"/>
    <w:rsid w:val="0077190E"/>
    <w:rsid w:val="00772311"/>
    <w:rsid w:val="00790107"/>
    <w:rsid w:val="007A151F"/>
    <w:rsid w:val="007B1951"/>
    <w:rsid w:val="007E2424"/>
    <w:rsid w:val="007E4976"/>
    <w:rsid w:val="007F5300"/>
    <w:rsid w:val="0084440C"/>
    <w:rsid w:val="008522B2"/>
    <w:rsid w:val="00867614"/>
    <w:rsid w:val="0087776D"/>
    <w:rsid w:val="00880A16"/>
    <w:rsid w:val="00893A10"/>
    <w:rsid w:val="008A0E7F"/>
    <w:rsid w:val="008B3739"/>
    <w:rsid w:val="008D29AA"/>
    <w:rsid w:val="008D30FE"/>
    <w:rsid w:val="008D3313"/>
    <w:rsid w:val="008D4519"/>
    <w:rsid w:val="008E1C24"/>
    <w:rsid w:val="008E276F"/>
    <w:rsid w:val="008F149A"/>
    <w:rsid w:val="008F2251"/>
    <w:rsid w:val="00900A4F"/>
    <w:rsid w:val="009218FB"/>
    <w:rsid w:val="00940D58"/>
    <w:rsid w:val="009453BF"/>
    <w:rsid w:val="009515EC"/>
    <w:rsid w:val="009516E1"/>
    <w:rsid w:val="00964313"/>
    <w:rsid w:val="009676CD"/>
    <w:rsid w:val="00972E29"/>
    <w:rsid w:val="00991BF7"/>
    <w:rsid w:val="009A4663"/>
    <w:rsid w:val="009B2200"/>
    <w:rsid w:val="009D6A6D"/>
    <w:rsid w:val="009E3404"/>
    <w:rsid w:val="009F5B9E"/>
    <w:rsid w:val="009F695F"/>
    <w:rsid w:val="00A0317B"/>
    <w:rsid w:val="00A03A2C"/>
    <w:rsid w:val="00A0483F"/>
    <w:rsid w:val="00A171B4"/>
    <w:rsid w:val="00A446E3"/>
    <w:rsid w:val="00A47635"/>
    <w:rsid w:val="00A540D9"/>
    <w:rsid w:val="00A901A2"/>
    <w:rsid w:val="00AA5D12"/>
    <w:rsid w:val="00AA5D20"/>
    <w:rsid w:val="00AC639F"/>
    <w:rsid w:val="00AD0077"/>
    <w:rsid w:val="00AE14DF"/>
    <w:rsid w:val="00B0614C"/>
    <w:rsid w:val="00B13A04"/>
    <w:rsid w:val="00B35C51"/>
    <w:rsid w:val="00B500B1"/>
    <w:rsid w:val="00B62304"/>
    <w:rsid w:val="00B62E7C"/>
    <w:rsid w:val="00B66B6D"/>
    <w:rsid w:val="00B76E1A"/>
    <w:rsid w:val="00B82983"/>
    <w:rsid w:val="00B917FC"/>
    <w:rsid w:val="00BA2204"/>
    <w:rsid w:val="00BA6259"/>
    <w:rsid w:val="00BB0420"/>
    <w:rsid w:val="00BB31A0"/>
    <w:rsid w:val="00BB4D37"/>
    <w:rsid w:val="00BB7B32"/>
    <w:rsid w:val="00BE21DB"/>
    <w:rsid w:val="00BE277B"/>
    <w:rsid w:val="00BF03AD"/>
    <w:rsid w:val="00BF790E"/>
    <w:rsid w:val="00C203C1"/>
    <w:rsid w:val="00C22F7B"/>
    <w:rsid w:val="00C22FC9"/>
    <w:rsid w:val="00C358B1"/>
    <w:rsid w:val="00C500F8"/>
    <w:rsid w:val="00C576C2"/>
    <w:rsid w:val="00C60980"/>
    <w:rsid w:val="00C62978"/>
    <w:rsid w:val="00C731EF"/>
    <w:rsid w:val="00C75E39"/>
    <w:rsid w:val="00C8183F"/>
    <w:rsid w:val="00C8223E"/>
    <w:rsid w:val="00CA0C66"/>
    <w:rsid w:val="00CB6B55"/>
    <w:rsid w:val="00CB7D76"/>
    <w:rsid w:val="00CD35AF"/>
    <w:rsid w:val="00CD4EA7"/>
    <w:rsid w:val="00CE287E"/>
    <w:rsid w:val="00CE3355"/>
    <w:rsid w:val="00D06A55"/>
    <w:rsid w:val="00D06E73"/>
    <w:rsid w:val="00D11BAB"/>
    <w:rsid w:val="00D163A2"/>
    <w:rsid w:val="00D17A42"/>
    <w:rsid w:val="00D310D0"/>
    <w:rsid w:val="00D3558E"/>
    <w:rsid w:val="00D40BD0"/>
    <w:rsid w:val="00D51BF5"/>
    <w:rsid w:val="00D67F62"/>
    <w:rsid w:val="00D85608"/>
    <w:rsid w:val="00D85BCF"/>
    <w:rsid w:val="00D87AC0"/>
    <w:rsid w:val="00D94282"/>
    <w:rsid w:val="00D96F92"/>
    <w:rsid w:val="00DC1329"/>
    <w:rsid w:val="00DE41B4"/>
    <w:rsid w:val="00DF1F59"/>
    <w:rsid w:val="00E0262D"/>
    <w:rsid w:val="00E54A84"/>
    <w:rsid w:val="00E56EA3"/>
    <w:rsid w:val="00E60DBC"/>
    <w:rsid w:val="00E61DF1"/>
    <w:rsid w:val="00E6295C"/>
    <w:rsid w:val="00E846CF"/>
    <w:rsid w:val="00E86D90"/>
    <w:rsid w:val="00E87B07"/>
    <w:rsid w:val="00E97E09"/>
    <w:rsid w:val="00EA48CC"/>
    <w:rsid w:val="00EB079D"/>
    <w:rsid w:val="00EC18A9"/>
    <w:rsid w:val="00ED06F2"/>
    <w:rsid w:val="00ED3A60"/>
    <w:rsid w:val="00EF2BEB"/>
    <w:rsid w:val="00EF395C"/>
    <w:rsid w:val="00EF4637"/>
    <w:rsid w:val="00F01CDC"/>
    <w:rsid w:val="00F2740B"/>
    <w:rsid w:val="00F31D01"/>
    <w:rsid w:val="00F42F92"/>
    <w:rsid w:val="00F55895"/>
    <w:rsid w:val="00F561E6"/>
    <w:rsid w:val="00F57137"/>
    <w:rsid w:val="00F61CAF"/>
    <w:rsid w:val="00F673C8"/>
    <w:rsid w:val="00F75245"/>
    <w:rsid w:val="00F9487D"/>
    <w:rsid w:val="00FA761B"/>
    <w:rsid w:val="00FB406F"/>
    <w:rsid w:val="00FB5801"/>
    <w:rsid w:val="00FC1E7E"/>
    <w:rsid w:val="00FE2136"/>
    <w:rsid w:val="00FE3F6D"/>
    <w:rsid w:val="00FE4C4B"/>
    <w:rsid w:val="00FE55F0"/>
    <w:rsid w:val="02131228"/>
    <w:rsid w:val="1DFC1574"/>
    <w:rsid w:val="25AE1D8F"/>
    <w:rsid w:val="345D016B"/>
    <w:rsid w:val="5F60A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0711"/>
  <w15:chartTrackingRefBased/>
  <w15:docId w15:val="{BE447DA4-B833-4866-863B-063ECB6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42"/>
    <w:pPr>
      <w:spacing w:after="240"/>
    </w:pPr>
    <w:rPr>
      <w:rFonts w:ascii="Arial" w:hAnsi="Arial"/>
    </w:rPr>
  </w:style>
  <w:style w:type="paragraph" w:styleId="Heading1">
    <w:name w:val="heading 1"/>
    <w:basedOn w:val="Normal"/>
    <w:next w:val="Normal"/>
    <w:link w:val="Heading1Char"/>
    <w:uiPriority w:val="9"/>
    <w:qFormat/>
    <w:rsid w:val="0013206C"/>
    <w:pPr>
      <w:keepNext/>
      <w:keepLines/>
      <w:spacing w:before="240"/>
      <w:outlineLvl w:val="0"/>
    </w:pPr>
    <w:rPr>
      <w:rFonts w:eastAsiaTheme="majorEastAsia" w:cstheme="majorBidi"/>
      <w:b/>
      <w:color w:val="FF5F05"/>
      <w:sz w:val="32"/>
      <w:szCs w:val="32"/>
    </w:rPr>
  </w:style>
  <w:style w:type="paragraph" w:styleId="Heading2">
    <w:name w:val="heading 2"/>
    <w:basedOn w:val="Normal"/>
    <w:next w:val="Normal"/>
    <w:link w:val="Heading2Char"/>
    <w:uiPriority w:val="9"/>
    <w:unhideWhenUsed/>
    <w:qFormat/>
    <w:rsid w:val="00B500B1"/>
    <w:pPr>
      <w:keepNext/>
      <w:keepLines/>
      <w:spacing w:before="40"/>
      <w:outlineLvl w:val="1"/>
    </w:pPr>
    <w:rPr>
      <w:rFonts w:eastAsiaTheme="majorEastAsia" w:cstheme="majorBidi"/>
      <w:b/>
      <w:color w:val="13294B"/>
      <w:sz w:val="28"/>
      <w:szCs w:val="26"/>
    </w:rPr>
  </w:style>
  <w:style w:type="paragraph" w:styleId="Heading3">
    <w:name w:val="heading 3"/>
    <w:basedOn w:val="Normal"/>
    <w:next w:val="Normal"/>
    <w:link w:val="Heading3Char"/>
    <w:uiPriority w:val="9"/>
    <w:unhideWhenUsed/>
    <w:qFormat/>
    <w:rsid w:val="00B500B1"/>
    <w:pPr>
      <w:keepNext/>
      <w:keepLines/>
      <w:spacing w:before="40"/>
      <w:outlineLvl w:val="2"/>
    </w:pPr>
    <w:rPr>
      <w:rFonts w:eastAsiaTheme="majorEastAsia" w:cstheme="majorBidi"/>
      <w:color w:val="13294B"/>
      <w:sz w:val="28"/>
    </w:rPr>
  </w:style>
  <w:style w:type="paragraph" w:styleId="Heading4">
    <w:name w:val="heading 4"/>
    <w:basedOn w:val="Normal"/>
    <w:next w:val="Normal"/>
    <w:link w:val="Heading4Char"/>
    <w:uiPriority w:val="9"/>
    <w:unhideWhenUsed/>
    <w:qFormat/>
    <w:rsid w:val="00B500B1"/>
    <w:pPr>
      <w:keepNext/>
      <w:keepLines/>
      <w:spacing w:before="40"/>
      <w:outlineLvl w:val="3"/>
    </w:pPr>
    <w:rPr>
      <w:rFonts w:eastAsiaTheme="majorEastAsia" w:cstheme="majorBidi"/>
      <w:i/>
      <w:iCs/>
      <w:color w:val="13294B"/>
      <w:sz w:val="28"/>
    </w:rPr>
  </w:style>
  <w:style w:type="paragraph" w:styleId="Heading5">
    <w:name w:val="heading 5"/>
    <w:basedOn w:val="Normal"/>
    <w:next w:val="Normal"/>
    <w:link w:val="Heading5Char"/>
    <w:uiPriority w:val="9"/>
    <w:semiHidden/>
    <w:unhideWhenUsed/>
    <w:qFormat/>
    <w:rsid w:val="0013206C"/>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cs="Times New Roman (Body CS)"/>
      <w:b/>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13206C"/>
    <w:rPr>
      <w:rFonts w:ascii="Arial" w:eastAsiaTheme="majorEastAsia" w:hAnsi="Arial" w:cstheme="majorBidi"/>
      <w:b/>
      <w:color w:val="FF5F05"/>
      <w:sz w:val="32"/>
      <w:szCs w:val="32"/>
    </w:rPr>
  </w:style>
  <w:style w:type="character" w:customStyle="1" w:styleId="Heading2Char">
    <w:name w:val="Heading 2 Char"/>
    <w:basedOn w:val="DefaultParagraphFont"/>
    <w:link w:val="Heading2"/>
    <w:uiPriority w:val="9"/>
    <w:rsid w:val="00B500B1"/>
    <w:rPr>
      <w:rFonts w:ascii="Arial" w:eastAsiaTheme="majorEastAsia" w:hAnsi="Arial" w:cstheme="majorBidi"/>
      <w:b/>
      <w:color w:val="13294B"/>
      <w:sz w:val="28"/>
      <w:szCs w:val="26"/>
    </w:rPr>
  </w:style>
  <w:style w:type="paragraph" w:styleId="Title">
    <w:name w:val="Title"/>
    <w:basedOn w:val="Normal"/>
    <w:next w:val="Normal"/>
    <w:link w:val="TitleChar"/>
    <w:uiPriority w:val="10"/>
    <w:qFormat/>
    <w:rsid w:val="0013206C"/>
    <w:pPr>
      <w:spacing w:after="360"/>
      <w:contextualSpacing/>
    </w:pPr>
    <w:rPr>
      <w:rFonts w:ascii="Arial Black" w:eastAsiaTheme="majorEastAsia" w:hAnsi="Arial Black" w:cstheme="majorBidi"/>
      <w:b/>
      <w:color w:val="13294B"/>
      <w:spacing w:val="-10"/>
      <w:kern w:val="28"/>
      <w:sz w:val="56"/>
      <w:szCs w:val="56"/>
    </w:rPr>
  </w:style>
  <w:style w:type="character" w:customStyle="1" w:styleId="TitleChar">
    <w:name w:val="Title Char"/>
    <w:basedOn w:val="DefaultParagraphFont"/>
    <w:link w:val="Title"/>
    <w:uiPriority w:val="10"/>
    <w:rsid w:val="0013206C"/>
    <w:rPr>
      <w:rFonts w:ascii="Arial Black" w:eastAsiaTheme="majorEastAsia" w:hAnsi="Arial Black" w:cstheme="majorBidi"/>
      <w:b/>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B500B1"/>
    <w:rPr>
      <w:rFonts w:ascii="Arial" w:eastAsiaTheme="majorEastAsia" w:hAnsi="Arial" w:cstheme="majorBidi"/>
      <w:color w:val="13294B"/>
      <w:sz w:val="28"/>
    </w:rPr>
  </w:style>
  <w:style w:type="character" w:customStyle="1" w:styleId="Heading4Char">
    <w:name w:val="Heading 4 Char"/>
    <w:basedOn w:val="DefaultParagraphFont"/>
    <w:link w:val="Heading4"/>
    <w:uiPriority w:val="9"/>
    <w:rsid w:val="00B500B1"/>
    <w:rPr>
      <w:rFonts w:ascii="Arial" w:eastAsiaTheme="majorEastAsia" w:hAnsi="Arial" w:cstheme="majorBidi"/>
      <w:i/>
      <w:iCs/>
      <w:color w:val="13294B"/>
      <w:sz w:val="28"/>
    </w:rPr>
  </w:style>
  <w:style w:type="character" w:customStyle="1" w:styleId="Heading5Char">
    <w:name w:val="Heading 5 Char"/>
    <w:basedOn w:val="DefaultParagraphFont"/>
    <w:link w:val="Heading5"/>
    <w:uiPriority w:val="9"/>
    <w:semiHidden/>
    <w:rsid w:val="0013206C"/>
    <w:rPr>
      <w:rFonts w:ascii="Arial" w:eastAsiaTheme="majorEastAsia" w:hAnsi="Arial" w:cstheme="majorBidi"/>
      <w:color w:val="2F5496" w:themeColor="accent1" w:themeShade="BF"/>
    </w:rPr>
  </w:style>
  <w:style w:type="paragraph" w:styleId="Subtitle">
    <w:name w:val="Subtitle"/>
    <w:basedOn w:val="Normal"/>
    <w:next w:val="Normal"/>
    <w:link w:val="SubtitleChar"/>
    <w:uiPriority w:val="11"/>
    <w:qFormat/>
    <w:rsid w:val="005776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77642"/>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893A10"/>
    <w:pPr>
      <w:widowControl w:val="0"/>
      <w:autoSpaceDE w:val="0"/>
      <w:autoSpaceDN w:val="0"/>
      <w:spacing w:after="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93A1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358B1"/>
    <w:pPr>
      <w:widowControl w:val="0"/>
      <w:autoSpaceDE w:val="0"/>
      <w:autoSpaceDN w:val="0"/>
      <w:spacing w:after="0"/>
    </w:pPr>
    <w:rPr>
      <w:rFonts w:ascii="Times New Roman" w:eastAsia="Times New Roman" w:hAnsi="Times New Roman" w:cs="Times New Roman"/>
      <w:kern w:val="0"/>
      <w:sz w:val="22"/>
      <w:szCs w:val="22"/>
      <w14:ligatures w14:val="none"/>
    </w:rPr>
  </w:style>
  <w:style w:type="paragraph" w:customStyle="1" w:styleId="HeaderStyle1">
    <w:name w:val="Header Style 1"/>
    <w:basedOn w:val="Heading1"/>
    <w:link w:val="HeaderStyle1Char"/>
    <w:qFormat/>
    <w:rsid w:val="00C358B1"/>
    <w:pPr>
      <w:keepNext w:val="0"/>
      <w:keepLines w:val="0"/>
      <w:widowControl w:val="0"/>
      <w:autoSpaceDE w:val="0"/>
      <w:autoSpaceDN w:val="0"/>
      <w:spacing w:before="0" w:after="60"/>
    </w:pPr>
    <w:rPr>
      <w:rFonts w:ascii="Times New Roman" w:eastAsia="Times New Roman" w:hAnsi="Times New Roman" w:cs="Times New Roman"/>
      <w:bCs/>
      <w:kern w:val="0"/>
      <w14:ligatures w14:val="none"/>
    </w:rPr>
  </w:style>
  <w:style w:type="character" w:customStyle="1" w:styleId="HeaderStyle1Char">
    <w:name w:val="Header Style 1 Char"/>
    <w:basedOn w:val="Heading1Char"/>
    <w:link w:val="HeaderStyle1"/>
    <w:rsid w:val="00C358B1"/>
    <w:rPr>
      <w:rFonts w:ascii="Times New Roman" w:eastAsia="Times New Roman" w:hAnsi="Times New Roman" w:cs="Times New Roman"/>
      <w:b/>
      <w:bCs/>
      <w:color w:val="FF5F05"/>
      <w:kern w:val="0"/>
      <w:sz w:val="32"/>
      <w:szCs w:val="32"/>
      <w14:ligatures w14:val="none"/>
    </w:rPr>
  </w:style>
  <w:style w:type="character" w:styleId="Hyperlink">
    <w:name w:val="Hyperlink"/>
    <w:basedOn w:val="DefaultParagraphFont"/>
    <w:uiPriority w:val="99"/>
    <w:unhideWhenUsed/>
    <w:rsid w:val="00C358B1"/>
    <w:rPr>
      <w:color w:val="0563C1" w:themeColor="hyperlink"/>
      <w:u w:val="single"/>
    </w:rPr>
  </w:style>
  <w:style w:type="paragraph" w:styleId="ListBullet">
    <w:name w:val="List Bullet"/>
    <w:basedOn w:val="Normal"/>
    <w:uiPriority w:val="99"/>
    <w:unhideWhenUsed/>
    <w:rsid w:val="00711B4E"/>
    <w:pPr>
      <w:numPr>
        <w:numId w:val="7"/>
      </w:numPr>
      <w:spacing w:before="120" w:after="160"/>
    </w:pPr>
    <w:rPr>
      <w:rFonts w:cs="Times New Roman"/>
      <w:kern w:val="0"/>
      <w:sz w:val="22"/>
      <w:szCs w:val="20"/>
      <w14:ligatures w14:val="none"/>
    </w:rPr>
  </w:style>
  <w:style w:type="character" w:styleId="CommentReference">
    <w:name w:val="annotation reference"/>
    <w:basedOn w:val="DefaultParagraphFont"/>
    <w:uiPriority w:val="99"/>
    <w:semiHidden/>
    <w:unhideWhenUsed/>
    <w:rsid w:val="009A4663"/>
    <w:rPr>
      <w:sz w:val="16"/>
      <w:szCs w:val="16"/>
    </w:rPr>
  </w:style>
  <w:style w:type="paragraph" w:styleId="CommentText">
    <w:name w:val="annotation text"/>
    <w:basedOn w:val="Normal"/>
    <w:link w:val="CommentTextChar"/>
    <w:uiPriority w:val="99"/>
    <w:semiHidden/>
    <w:unhideWhenUsed/>
    <w:rsid w:val="009A4663"/>
    <w:rPr>
      <w:sz w:val="20"/>
      <w:szCs w:val="20"/>
    </w:rPr>
  </w:style>
  <w:style w:type="character" w:customStyle="1" w:styleId="CommentTextChar">
    <w:name w:val="Comment Text Char"/>
    <w:basedOn w:val="DefaultParagraphFont"/>
    <w:link w:val="CommentText"/>
    <w:uiPriority w:val="99"/>
    <w:semiHidden/>
    <w:rsid w:val="009A46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663"/>
    <w:rPr>
      <w:b/>
      <w:bCs/>
    </w:rPr>
  </w:style>
  <w:style w:type="character" w:customStyle="1" w:styleId="CommentSubjectChar">
    <w:name w:val="Comment Subject Char"/>
    <w:basedOn w:val="CommentTextChar"/>
    <w:link w:val="CommentSubject"/>
    <w:uiPriority w:val="99"/>
    <w:semiHidden/>
    <w:rsid w:val="009A4663"/>
    <w:rPr>
      <w:rFonts w:ascii="Arial" w:hAnsi="Arial"/>
      <w:b/>
      <w:bCs/>
      <w:sz w:val="20"/>
      <w:szCs w:val="20"/>
    </w:rPr>
  </w:style>
  <w:style w:type="character" w:styleId="FollowedHyperlink">
    <w:name w:val="FollowedHyperlink"/>
    <w:basedOn w:val="DefaultParagraphFont"/>
    <w:uiPriority w:val="99"/>
    <w:semiHidden/>
    <w:unhideWhenUsed/>
    <w:rsid w:val="009A4663"/>
    <w:rPr>
      <w:color w:val="954F72" w:themeColor="followedHyperlink"/>
      <w:u w:val="single"/>
    </w:rPr>
  </w:style>
  <w:style w:type="character" w:styleId="UnresolvedMention">
    <w:name w:val="Unresolved Mention"/>
    <w:basedOn w:val="DefaultParagraphFont"/>
    <w:uiPriority w:val="99"/>
    <w:semiHidden/>
    <w:unhideWhenUsed/>
    <w:rsid w:val="00F55895"/>
    <w:rPr>
      <w:color w:val="605E5C"/>
      <w:shd w:val="clear" w:color="auto" w:fill="E1DFDD"/>
    </w:rPr>
  </w:style>
  <w:style w:type="character" w:styleId="IntenseEmphasis">
    <w:name w:val="Intense Emphasis"/>
    <w:basedOn w:val="DefaultParagraphFont"/>
    <w:uiPriority w:val="21"/>
    <w:qFormat/>
    <w:rsid w:val="00F5589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rgensen.biology.utah.edu/wayned/ape/" TargetMode="External"/><Relationship Id="rId18" Type="http://schemas.openxmlformats.org/officeDocument/2006/relationships/hyperlink" Target="https://studentcode.illinois.edu/article1/part5/1-501/" TargetMode="External"/><Relationship Id="rId26" Type="http://schemas.openxmlformats.org/officeDocument/2006/relationships/hyperlink" Target="https://police.illinois.edu/em/run-hide-fight/" TargetMode="External"/><Relationship Id="rId21" Type="http://schemas.openxmlformats.org/officeDocument/2006/relationships/hyperlink" Target="http://registrar.illinois.edu/ferp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ebstore.illinois.edu/shop/product.aspx?zpid=2816" TargetMode="External"/><Relationship Id="rId17" Type="http://schemas.openxmlformats.org/officeDocument/2006/relationships/hyperlink" Target="https://card.mcmaster.ca/home" TargetMode="External"/><Relationship Id="rId25" Type="http://schemas.openxmlformats.org/officeDocument/2006/relationships/hyperlink" Target="https://go.illinois.edu/ReportMisconduc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last.ncbi.nlm.nih.gov/Blast.cgi" TargetMode="External"/><Relationship Id="rId20" Type="http://schemas.openxmlformats.org/officeDocument/2006/relationships/hyperlink" Target="https://studentcode.illinois.edu/article1/part4/1-401/" TargetMode="External"/><Relationship Id="rId29" Type="http://schemas.openxmlformats.org/officeDocument/2006/relationships/hyperlink" Target="https://wecare.illino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illinois.edu/" TargetMode="External"/><Relationship Id="rId24" Type="http://schemas.openxmlformats.org/officeDocument/2006/relationships/hyperlink" Target="https://odos.illinois.edu/community-of-care/student-assistance-center"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kta.computational.bio/" TargetMode="External"/><Relationship Id="rId23" Type="http://schemas.openxmlformats.org/officeDocument/2006/relationships/hyperlink" Target="https://odos.illinois.edu/community-of-care/referral" TargetMode="External"/><Relationship Id="rId28" Type="http://schemas.openxmlformats.org/officeDocument/2006/relationships/hyperlink" Target="https://wecare.illinois.edu/resources/students/" TargetMode="External"/><Relationship Id="rId36" Type="http://schemas.openxmlformats.org/officeDocument/2006/relationships/fontTable" Target="fontTable.xml"/><Relationship Id="rId10" Type="http://schemas.openxmlformats.org/officeDocument/2006/relationships/hyperlink" Target="https://www.croftsmicrolab.org/" TargetMode="External"/><Relationship Id="rId19" Type="http://schemas.openxmlformats.org/officeDocument/2006/relationships/hyperlink" Target="http://studentcode.illinois.edu/" TargetMode="External"/><Relationship Id="rId31" Type="http://schemas.openxmlformats.org/officeDocument/2006/relationships/hyperlink" Target="https://studentcode.illinois.edu/article3/part3/3-313" TargetMode="External"/><Relationship Id="rId4" Type="http://schemas.openxmlformats.org/officeDocument/2006/relationships/settings" Target="settings.xml"/><Relationship Id="rId9" Type="http://schemas.openxmlformats.org/officeDocument/2006/relationships/hyperlink" Target="https://provost.illinois.edu/policies/policies/courses/credit-hour-definition/assigning-credit-hours/" TargetMode="External"/><Relationship Id="rId14" Type="http://schemas.openxmlformats.org/officeDocument/2006/relationships/hyperlink" Target="https://genemark.bme.gatech.edu/meta_gmhmmp.cgi" TargetMode="External"/><Relationship Id="rId22" Type="http://schemas.openxmlformats.org/officeDocument/2006/relationships/hyperlink" Target="https://odos.illinois.edu/community-of-care/referral" TargetMode="External"/><Relationship Id="rId27" Type="http://schemas.openxmlformats.org/officeDocument/2006/relationships/hyperlink" Target="https://odos.illinois.edu/resources/students/religious-observances" TargetMode="External"/><Relationship Id="rId30" Type="http://schemas.openxmlformats.org/officeDocument/2006/relationships/hyperlink" Target="https://chezveteranscenter.ahs.illinois.edu/"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ewell\Desktop\GenEds\GenEd%20Graphics\GenEd_WordDoc_F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GenEd_WordDoc_F1</Template>
  <TotalTime>5</TotalTime>
  <Pages>14</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Newell</dc:creator>
  <cp:keywords/>
  <dc:description/>
  <cp:lastModifiedBy>Crofts, Terence</cp:lastModifiedBy>
  <cp:revision>3</cp:revision>
  <dcterms:created xsi:type="dcterms:W3CDTF">2025-12-10T16:42:00Z</dcterms:created>
  <dcterms:modified xsi:type="dcterms:W3CDTF">2025-12-10T16:46:00Z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706f45df6e778b50e5e42bace8db0ffc9cac0bde69fb18032962729ade9aa331</vt:lpwstr>
  </property>
</Properties>
</file>